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07198" w14:textId="77777777" w:rsidR="00415A92" w:rsidRPr="00594288" w:rsidRDefault="00AF2775">
      <w:pPr>
        <w:spacing w:line="360" w:lineRule="auto"/>
        <w:rPr>
          <w:rFonts w:ascii="黑体" w:eastAsia="黑体" w:hAnsi="黑体"/>
          <w:kern w:val="0"/>
          <w:sz w:val="28"/>
          <w:szCs w:val="28"/>
        </w:rPr>
      </w:pPr>
      <w:r w:rsidRPr="00594288">
        <w:rPr>
          <w:rFonts w:ascii="黑体" w:eastAsia="黑体" w:hAnsi="黑体"/>
          <w:noProof/>
          <w:kern w:val="0"/>
        </w:rPr>
        <mc:AlternateContent>
          <mc:Choice Requires="wps">
            <w:drawing>
              <wp:anchor distT="0" distB="0" distL="114300" distR="114300" simplePos="0" relativeHeight="251662336" behindDoc="0" locked="0" layoutInCell="1" allowOverlap="1" wp14:anchorId="7D85FBFB" wp14:editId="1820C2CC">
                <wp:simplePos x="0" y="0"/>
                <wp:positionH relativeFrom="column">
                  <wp:posOffset>113665</wp:posOffset>
                </wp:positionH>
                <wp:positionV relativeFrom="paragraph">
                  <wp:posOffset>293370</wp:posOffset>
                </wp:positionV>
                <wp:extent cx="2097405" cy="428625"/>
                <wp:effectExtent l="0" t="0" r="5080" b="0"/>
                <wp:wrapNone/>
                <wp:docPr id="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428625"/>
                        </a:xfrm>
                        <a:prstGeom prst="rect">
                          <a:avLst/>
                        </a:prstGeom>
                        <a:solidFill>
                          <a:srgbClr val="FFFFFF"/>
                        </a:solidFill>
                        <a:ln w="9525">
                          <a:solidFill>
                            <a:sysClr val="window" lastClr="FFFFFF">
                              <a:lumMod val="100000"/>
                              <a:lumOff val="0"/>
                            </a:sysClr>
                          </a:solidFill>
                          <a:miter lim="800000"/>
                        </a:ln>
                      </wps:spPr>
                      <wps:txbx>
                        <w:txbxContent>
                          <w:p w14:paraId="0BCD7425" w14:textId="77777777" w:rsidR="00415A92" w:rsidRDefault="00A24F9B" w:rsidP="00365C01">
                            <w:pPr>
                              <w:spacing w:beforeLines="50" w:before="156" w:line="360" w:lineRule="exact"/>
                              <w:jc w:val="left"/>
                              <w:rPr>
                                <w:rFonts w:ascii="宋体" w:hAnsi="宋体"/>
                                <w:color w:val="000000"/>
                                <w:kern w:val="0"/>
                                <w:sz w:val="24"/>
                                <w:szCs w:val="24"/>
                                <w:shd w:val="clear" w:color="auto" w:fill="FFFFFF"/>
                              </w:rPr>
                            </w:pPr>
                            <w:r>
                              <w:rPr>
                                <w:rFonts w:ascii="宋体" w:hAnsi="宋体" w:hint="eastAsia"/>
                                <w:color w:val="000000"/>
                                <w:kern w:val="0"/>
                                <w:sz w:val="24"/>
                                <w:szCs w:val="24"/>
                                <w:shd w:val="clear" w:color="auto" w:fill="FFFFFF"/>
                              </w:rPr>
                              <w:t xml:space="preserve">ICS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D85FBFB" id="_x0000_t202" coordsize="21600,21600" o:spt="202" path="m,l,21600r21600,l21600,xe">
                <v:stroke joinstyle="miter"/>
                <v:path gradientshapeok="t" o:connecttype="rect"/>
              </v:shapetype>
              <v:shape id="文本框 2" o:spid="_x0000_s1026" type="#_x0000_t202" style="position:absolute;left:0;text-align:left;margin-left:8.95pt;margin-top:23.1pt;width:165.15pt;height:33.7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" strokecolor="white">
                <v:textbox style="mso-fit-shape-to-text:t">
                  <w:txbxContent>
                    <w:p w14:paraId="0BCD7425" w14:textId="77777777" w:rsidR="00415A92" w:rsidRDefault="00A24F9B" w:rsidP="00365C01">
                      <w:pPr>
                        <w:spacing w:beforeLines="50" w:before="156" w:line="360" w:lineRule="exact"/>
                        <w:jc w:val="left"/>
                        <w:rPr>
                          <w:rFonts w:ascii="宋体" w:hAnsi="宋体"/>
                          <w:color w:val="000000"/>
                          <w:kern w:val="0"/>
                          <w:sz w:val="24"/>
                          <w:szCs w:val="24"/>
                          <w:shd w:val="clear" w:color="auto" w:fill="FFFFFF"/>
                        </w:rPr>
                      </w:pPr>
                      <w:r>
                        <w:rPr>
                          <w:rFonts w:ascii="宋体" w:hAnsi="宋体" w:hint="eastAsia"/>
                          <w:color w:val="000000"/>
                          <w:kern w:val="0"/>
                          <w:sz w:val="24"/>
                          <w:szCs w:val="24"/>
                          <w:shd w:val="clear" w:color="auto" w:fill="FFFFFF"/>
                        </w:rPr>
                        <w:t xml:space="preserve">ICS </w:t>
                      </w:r>
                    </w:p>
                  </w:txbxContent>
                </v:textbox>
              </v:shape>
            </w:pict>
          </mc:Fallback>
        </mc:AlternateContent>
      </w:r>
    </w:p>
    <w:p w14:paraId="3E12AEE2" w14:textId="77777777" w:rsidR="00415A92" w:rsidRPr="00594288" w:rsidRDefault="00415A92">
      <w:pPr>
        <w:spacing w:line="360" w:lineRule="auto"/>
        <w:ind w:firstLineChars="200" w:firstLine="420"/>
        <w:rPr>
          <w:kern w:val="0"/>
        </w:rPr>
      </w:pPr>
    </w:p>
    <w:p w14:paraId="6DCBE5B2" w14:textId="77777777" w:rsidR="00415A92" w:rsidRPr="00594288" w:rsidRDefault="00A24F9B">
      <w:pPr>
        <w:spacing w:line="360" w:lineRule="auto"/>
        <w:ind w:firstLineChars="150" w:firstLine="360"/>
        <w:rPr>
          <w:rFonts w:ascii="宋体" w:hAnsi="宋体"/>
          <w:kern w:val="0"/>
          <w:sz w:val="24"/>
          <w:szCs w:val="24"/>
        </w:rPr>
      </w:pPr>
      <w:r w:rsidRPr="00594288">
        <w:rPr>
          <w:rFonts w:ascii="宋体" w:hAnsi="宋体" w:hint="eastAsia"/>
          <w:kern w:val="0"/>
          <w:sz w:val="24"/>
          <w:szCs w:val="24"/>
        </w:rPr>
        <w:t>中国标准文献分类号</w:t>
      </w:r>
    </w:p>
    <w:p w14:paraId="4237D673" w14:textId="77777777" w:rsidR="00415A92" w:rsidRPr="00594288" w:rsidRDefault="00415A92">
      <w:pPr>
        <w:rPr>
          <w:kern w:val="0"/>
          <w:sz w:val="28"/>
          <w:szCs w:val="28"/>
        </w:rPr>
      </w:pPr>
    </w:p>
    <w:p w14:paraId="732ACC1F" w14:textId="77777777" w:rsidR="00415A92" w:rsidRPr="00594288" w:rsidRDefault="00A24F9B">
      <w:pPr>
        <w:jc w:val="center"/>
        <w:rPr>
          <w:rFonts w:ascii="黑体" w:eastAsia="黑体" w:hAnsi="黑体"/>
          <w:kern w:val="0"/>
          <w:sz w:val="84"/>
          <w:szCs w:val="84"/>
        </w:rPr>
      </w:pPr>
      <w:r w:rsidRPr="00594288">
        <w:rPr>
          <w:rFonts w:ascii="黑体" w:eastAsia="黑体" w:hAnsi="黑体" w:hint="eastAsia"/>
          <w:kern w:val="0"/>
          <w:sz w:val="84"/>
          <w:szCs w:val="84"/>
        </w:rPr>
        <w:t>团   体   标   准</w:t>
      </w:r>
    </w:p>
    <w:p w14:paraId="4BE5B301" w14:textId="77777777" w:rsidR="00AE5C0A" w:rsidRPr="00594288" w:rsidRDefault="00CA64F3" w:rsidP="00860016">
      <w:pPr>
        <w:ind w:rightChars="-500" w:right="-1050"/>
        <w:jc w:val="right"/>
        <w:rPr>
          <w:rFonts w:ascii="Times New Roman" w:eastAsia="方正小标宋简体" w:hAnsi="Times New Roman"/>
          <w:b/>
          <w:kern w:val="0"/>
          <w:sz w:val="32"/>
          <w:szCs w:val="32"/>
        </w:rPr>
      </w:pPr>
      <w:r w:rsidRPr="00594288">
        <w:rPr>
          <w:noProof/>
          <w:kern w:val="0"/>
        </w:rPr>
        <mc:AlternateContent>
          <mc:Choice Requires="wps">
            <w:drawing>
              <wp:anchor distT="4294967295" distB="4294967295" distL="114300" distR="114300" simplePos="0" relativeHeight="251660288" behindDoc="0" locked="0" layoutInCell="1" allowOverlap="1" wp14:anchorId="3BDDD444" wp14:editId="48250B78">
                <wp:simplePos x="0" y="0"/>
                <wp:positionH relativeFrom="column">
                  <wp:posOffset>-183833</wp:posOffset>
                </wp:positionH>
                <wp:positionV relativeFrom="paragraph">
                  <wp:posOffset>414020</wp:posOffset>
                </wp:positionV>
                <wp:extent cx="6098540" cy="0"/>
                <wp:effectExtent l="0" t="0" r="0" b="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8540"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568AB956" id="_x0000_t32" coordsize="21600,21600" o:spt="32" o:oned="t" path="m,l21600,21600e" filled="f">
                <v:path arrowok="t" fillok="f" o:connecttype="none"/>
                <o:lock v:ext="edit" shapetype="t"/>
              </v:shapetype>
              <v:shape id="AutoShape 2" o:spid="_x0000_s1026" type="#_x0000_t32" style="position:absolute;left:0;text-align:left;margin-left:-14.5pt;margin-top:32.6pt;width:480.2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"/>
            </w:pict>
          </mc:Fallback>
        </mc:AlternateContent>
      </w:r>
      <w:r w:rsidR="00AE5C0A" w:rsidRPr="00594288">
        <w:rPr>
          <w:rFonts w:ascii="Times New Roman" w:eastAsia="方正小标宋简体" w:hAnsi="Times New Roman" w:hint="eastAsia"/>
          <w:b/>
          <w:kern w:val="0"/>
          <w:sz w:val="32"/>
          <w:szCs w:val="32"/>
        </w:rPr>
        <w:t>T/</w:t>
      </w:r>
      <w:r w:rsidR="00487795">
        <w:rPr>
          <w:rFonts w:ascii="Times New Roman" w:eastAsia="方正小标宋简体" w:hAnsi="Times New Roman"/>
          <w:b/>
          <w:kern w:val="0"/>
          <w:sz w:val="32"/>
          <w:szCs w:val="32"/>
        </w:rPr>
        <w:t>EES</w:t>
      </w:r>
      <w:r w:rsidR="00AE5C0A" w:rsidRPr="00594288">
        <w:rPr>
          <w:rFonts w:ascii="Times New Roman" w:eastAsia="方正小标宋简体" w:hAnsi="Times New Roman" w:hint="eastAsia"/>
          <w:b/>
          <w:kern w:val="0"/>
          <w:sz w:val="32"/>
          <w:szCs w:val="32"/>
        </w:rPr>
        <w:t xml:space="preserve"> </w:t>
      </w:r>
      <w:proofErr w:type="spellStart"/>
      <w:r>
        <w:rPr>
          <w:rFonts w:ascii="Times New Roman" w:eastAsia="方正小标宋简体" w:hAnsi="Times New Roman" w:hint="eastAsia"/>
          <w:b/>
          <w:kern w:val="0"/>
          <w:sz w:val="32"/>
          <w:szCs w:val="32"/>
        </w:rPr>
        <w:t>xxxx</w:t>
      </w:r>
      <w:proofErr w:type="spellEnd"/>
      <w:r w:rsidR="00AE5C0A" w:rsidRPr="00594288">
        <w:rPr>
          <w:rFonts w:ascii="Times New Roman" w:eastAsia="方正小标宋简体" w:hAnsi="Times New Roman" w:hint="eastAsia"/>
          <w:b/>
          <w:kern w:val="0"/>
          <w:sz w:val="32"/>
          <w:szCs w:val="32"/>
        </w:rPr>
        <w:t>—</w:t>
      </w:r>
      <w:proofErr w:type="spellStart"/>
      <w:r>
        <w:rPr>
          <w:rFonts w:ascii="Times New Roman" w:eastAsia="方正小标宋简体" w:hAnsi="Times New Roman" w:hint="eastAsia"/>
          <w:b/>
          <w:kern w:val="0"/>
          <w:sz w:val="32"/>
          <w:szCs w:val="32"/>
        </w:rPr>
        <w:t>xxxx</w:t>
      </w:r>
      <w:proofErr w:type="spellEnd"/>
    </w:p>
    <w:p w14:paraId="4610FD03" w14:textId="77777777" w:rsidR="00415A92" w:rsidRPr="00594288" w:rsidRDefault="00415A92">
      <w:pPr>
        <w:rPr>
          <w:kern w:val="0"/>
        </w:rPr>
      </w:pPr>
    </w:p>
    <w:p w14:paraId="14C73927" w14:textId="77777777" w:rsidR="00415A92" w:rsidRPr="00594288" w:rsidRDefault="00415A92">
      <w:pPr>
        <w:rPr>
          <w:kern w:val="0"/>
        </w:rPr>
      </w:pPr>
    </w:p>
    <w:p w14:paraId="39E85793" w14:textId="77777777" w:rsidR="00415A92" w:rsidRPr="00594288" w:rsidRDefault="00415A92">
      <w:pPr>
        <w:rPr>
          <w:kern w:val="0"/>
        </w:rPr>
      </w:pPr>
    </w:p>
    <w:p w14:paraId="2174640B" w14:textId="77777777" w:rsidR="00415A92" w:rsidRPr="00594288" w:rsidRDefault="00415A92">
      <w:pPr>
        <w:rPr>
          <w:kern w:val="0"/>
        </w:rPr>
      </w:pPr>
    </w:p>
    <w:p w14:paraId="092EB1F9" w14:textId="77777777" w:rsidR="00415A92" w:rsidRPr="00594288" w:rsidRDefault="00415A92">
      <w:pPr>
        <w:rPr>
          <w:kern w:val="0"/>
        </w:rPr>
      </w:pPr>
    </w:p>
    <w:p w14:paraId="5F6E44DE" w14:textId="77777777" w:rsidR="00415A92" w:rsidRPr="00594288" w:rsidRDefault="00415A92">
      <w:pPr>
        <w:rPr>
          <w:kern w:val="0"/>
        </w:rPr>
      </w:pPr>
    </w:p>
    <w:p w14:paraId="2454E752" w14:textId="14E14132" w:rsidR="00415A92" w:rsidRPr="00594288" w:rsidRDefault="002B4AE6" w:rsidP="002B4AE6">
      <w:pPr>
        <w:pStyle w:val="a7"/>
        <w:framePr w:w="9639" w:h="2732" w:hRule="exact" w:wrap="around" w:vAnchor="page" w:hAnchor="page" w:x="1374" w:y="6863" w:anchorLock="1"/>
      </w:pPr>
      <w:r w:rsidRPr="002B4AE6">
        <w:rPr>
          <w:rFonts w:hint="eastAsia"/>
        </w:rPr>
        <w:t>“领跑者”标准评价要求  教室照明</w:t>
      </w:r>
    </w:p>
    <w:p w14:paraId="683AF321" w14:textId="5ADFAF73" w:rsidR="00415A92" w:rsidRDefault="002B4AE6" w:rsidP="002B4AE6">
      <w:pPr>
        <w:framePr w:w="9639" w:h="2732" w:hRule="exact" w:wrap="around" w:vAnchor="page" w:hAnchor="page" w:x="1374" w:y="6863" w:anchorLock="1"/>
        <w:spacing w:beforeLines="50" w:before="156" w:line="360" w:lineRule="exact"/>
        <w:jc w:val="center"/>
        <w:rPr>
          <w:rFonts w:ascii="Times New Roman" w:hAnsi="Times New Roman"/>
          <w:color w:val="000000"/>
          <w:kern w:val="0"/>
          <w:sz w:val="28"/>
          <w:szCs w:val="28"/>
          <w:shd w:val="clear" w:color="auto" w:fill="FFFFFF"/>
        </w:rPr>
      </w:pPr>
      <w:r w:rsidRPr="002B4AE6">
        <w:rPr>
          <w:rFonts w:ascii="Times New Roman" w:hAnsi="Times New Roman"/>
          <w:color w:val="000000"/>
          <w:kern w:val="0"/>
          <w:sz w:val="28"/>
          <w:szCs w:val="28"/>
          <w:shd w:val="clear" w:color="auto" w:fill="FFFFFF"/>
        </w:rPr>
        <w:t>Assessment requirements for enterprise forerunner standards- “Top Runner” product   educational lighting</w:t>
      </w:r>
    </w:p>
    <w:p w14:paraId="525ABC2C" w14:textId="77777777" w:rsidR="002B4AE6" w:rsidRDefault="002B4AE6" w:rsidP="002B4AE6">
      <w:pPr>
        <w:framePr w:w="9639" w:h="2732" w:hRule="exact" w:wrap="around" w:vAnchor="page" w:hAnchor="page" w:x="1374" w:y="6863" w:anchorLock="1"/>
        <w:spacing w:beforeLines="50" w:before="156" w:line="360" w:lineRule="exact"/>
        <w:jc w:val="center"/>
        <w:rPr>
          <w:rFonts w:ascii="Times New Roman" w:hAnsi="Times New Roman"/>
          <w:color w:val="000000"/>
          <w:kern w:val="0"/>
          <w:sz w:val="28"/>
          <w:szCs w:val="28"/>
          <w:shd w:val="clear" w:color="auto" w:fill="FFFFFF"/>
        </w:rPr>
      </w:pPr>
    </w:p>
    <w:p w14:paraId="3A7E0797" w14:textId="0FF60865" w:rsidR="002B4AE6" w:rsidRPr="00594288" w:rsidRDefault="002B4AE6" w:rsidP="002B4AE6">
      <w:pPr>
        <w:framePr w:w="9639" w:h="2732" w:hRule="exact" w:wrap="around" w:vAnchor="page" w:hAnchor="page" w:x="1374" w:y="6863" w:anchorLock="1"/>
        <w:spacing w:beforeLines="50" w:before="156" w:line="360" w:lineRule="exact"/>
        <w:jc w:val="center"/>
        <w:rPr>
          <w:rFonts w:ascii="Times New Roman" w:hAnsi="Times New Roman"/>
          <w:color w:val="000000"/>
          <w:kern w:val="0"/>
          <w:sz w:val="28"/>
          <w:szCs w:val="28"/>
          <w:shd w:val="clear" w:color="auto" w:fill="FFFFFF"/>
        </w:rPr>
      </w:pPr>
      <w:r>
        <w:rPr>
          <w:rFonts w:hint="eastAsia"/>
        </w:rPr>
        <w:t>（标准草案）</w:t>
      </w:r>
    </w:p>
    <w:p w14:paraId="388E17A0" w14:textId="77777777" w:rsidR="00415A92" w:rsidRPr="00594288" w:rsidRDefault="00415A92" w:rsidP="00365C01">
      <w:pPr>
        <w:spacing w:beforeLines="50" w:before="156" w:afterLines="50" w:after="156" w:line="360" w:lineRule="auto"/>
        <w:jc w:val="center"/>
        <w:rPr>
          <w:rFonts w:ascii="Times New Roman" w:hAnsi="Times New Roman"/>
          <w:b/>
          <w:color w:val="000000"/>
          <w:kern w:val="0"/>
          <w:sz w:val="28"/>
          <w:szCs w:val="28"/>
          <w:shd w:val="clear" w:color="auto" w:fill="FFFFFF"/>
        </w:rPr>
      </w:pPr>
    </w:p>
    <w:p w14:paraId="3E2D1869" w14:textId="77777777" w:rsidR="00415A92" w:rsidRPr="00594288" w:rsidRDefault="00415A92">
      <w:pPr>
        <w:rPr>
          <w:kern w:val="0"/>
        </w:rPr>
      </w:pPr>
    </w:p>
    <w:p w14:paraId="630E5254" w14:textId="77777777" w:rsidR="00A24F9B" w:rsidRPr="00594288" w:rsidRDefault="00A24F9B">
      <w:pPr>
        <w:rPr>
          <w:kern w:val="0"/>
        </w:rPr>
      </w:pPr>
    </w:p>
    <w:p w14:paraId="377946B8" w14:textId="77777777" w:rsidR="00A24F9B" w:rsidRPr="00594288" w:rsidRDefault="00A24F9B">
      <w:pPr>
        <w:rPr>
          <w:kern w:val="0"/>
        </w:rPr>
      </w:pPr>
    </w:p>
    <w:p w14:paraId="429AD164" w14:textId="77777777" w:rsidR="00A24F9B" w:rsidRPr="00594288" w:rsidRDefault="00A24F9B">
      <w:pPr>
        <w:rPr>
          <w:kern w:val="0"/>
        </w:rPr>
      </w:pPr>
    </w:p>
    <w:p w14:paraId="485FCD48" w14:textId="77777777" w:rsidR="00415A92" w:rsidRPr="00594288" w:rsidRDefault="00415A92">
      <w:pPr>
        <w:rPr>
          <w:kern w:val="0"/>
        </w:rPr>
      </w:pPr>
    </w:p>
    <w:p w14:paraId="1E5328D6" w14:textId="77777777" w:rsidR="00415A92" w:rsidRPr="00594288" w:rsidRDefault="00415A92">
      <w:pPr>
        <w:rPr>
          <w:kern w:val="0"/>
        </w:rPr>
      </w:pPr>
    </w:p>
    <w:p w14:paraId="77525FDF" w14:textId="77777777" w:rsidR="00415A92" w:rsidRPr="00594288" w:rsidRDefault="00415A92">
      <w:pPr>
        <w:rPr>
          <w:kern w:val="0"/>
        </w:rPr>
      </w:pPr>
    </w:p>
    <w:p w14:paraId="2E34EED1" w14:textId="77777777" w:rsidR="00415A92" w:rsidRPr="00594288" w:rsidRDefault="00415A92">
      <w:pPr>
        <w:rPr>
          <w:kern w:val="0"/>
        </w:rPr>
      </w:pPr>
    </w:p>
    <w:p w14:paraId="3FBA84B1" w14:textId="77777777" w:rsidR="00415A92" w:rsidRPr="005D5107" w:rsidRDefault="00A24F9B">
      <w:pPr>
        <w:rPr>
          <w:rFonts w:ascii="黑体" w:eastAsia="黑体" w:hAnsi="微软雅黑"/>
          <w:kern w:val="0"/>
          <w:sz w:val="28"/>
          <w:szCs w:val="28"/>
        </w:rPr>
      </w:pPr>
      <w:r w:rsidRPr="00057197">
        <w:rPr>
          <w:rFonts w:ascii="黑体" w:eastAsia="黑体" w:hAnsi="微软雅黑" w:hint="eastAsia"/>
          <w:spacing w:val="1"/>
          <w:kern w:val="0"/>
          <w:sz w:val="28"/>
          <w:szCs w:val="28"/>
          <w:fitText w:val="8921" w:id="2"/>
        </w:rPr>
        <w:t>20</w:t>
      </w:r>
      <w:r w:rsidR="00487795" w:rsidRPr="00057197">
        <w:rPr>
          <w:rFonts w:ascii="黑体" w:eastAsia="黑体" w:hAnsi="微软雅黑"/>
          <w:spacing w:val="1"/>
          <w:kern w:val="0"/>
          <w:sz w:val="28"/>
          <w:szCs w:val="28"/>
          <w:fitText w:val="8921" w:id="2"/>
        </w:rPr>
        <w:t>20</w:t>
      </w:r>
      <w:r w:rsidRPr="00057197">
        <w:rPr>
          <w:rFonts w:ascii="黑体" w:eastAsia="黑体" w:hAnsi="微软雅黑" w:hint="eastAsia"/>
          <w:spacing w:val="1"/>
          <w:kern w:val="0"/>
          <w:sz w:val="28"/>
          <w:szCs w:val="28"/>
          <w:fitText w:val="8921" w:id="2"/>
        </w:rPr>
        <w:t xml:space="preserve">-X-X </w:t>
      </w:r>
      <w:r w:rsidRPr="00057197">
        <w:rPr>
          <w:rFonts w:ascii="黑体" w:eastAsia="黑体" w:hAnsi="黑体" w:hint="eastAsia"/>
          <w:spacing w:val="1"/>
          <w:kern w:val="0"/>
          <w:sz w:val="28"/>
          <w:szCs w:val="28"/>
          <w:fitText w:val="8921" w:id="2"/>
        </w:rPr>
        <w:t>发布                                     20</w:t>
      </w:r>
      <w:r w:rsidR="00487795" w:rsidRPr="00057197">
        <w:rPr>
          <w:rFonts w:ascii="黑体" w:eastAsia="黑体" w:hAnsi="黑体"/>
          <w:spacing w:val="1"/>
          <w:kern w:val="0"/>
          <w:sz w:val="28"/>
          <w:szCs w:val="28"/>
          <w:fitText w:val="8921" w:id="2"/>
        </w:rPr>
        <w:t>20</w:t>
      </w:r>
      <w:r w:rsidRPr="00057197">
        <w:rPr>
          <w:rFonts w:ascii="黑体" w:eastAsia="黑体" w:hAnsi="微软雅黑" w:hint="eastAsia"/>
          <w:spacing w:val="1"/>
          <w:kern w:val="0"/>
          <w:sz w:val="28"/>
          <w:szCs w:val="28"/>
          <w:fitText w:val="8921" w:id="2"/>
        </w:rPr>
        <w:t xml:space="preserve">-X-X </w:t>
      </w:r>
      <w:r w:rsidRPr="00057197">
        <w:rPr>
          <w:rFonts w:ascii="黑体" w:eastAsia="黑体" w:hAnsi="黑体" w:hint="eastAsia"/>
          <w:spacing w:val="1"/>
          <w:kern w:val="0"/>
          <w:sz w:val="28"/>
          <w:szCs w:val="28"/>
          <w:fitText w:val="8921" w:id="2"/>
        </w:rPr>
        <w:t>实</w:t>
      </w:r>
      <w:r w:rsidRPr="00057197">
        <w:rPr>
          <w:rFonts w:ascii="黑体" w:eastAsia="黑体" w:hAnsi="黑体" w:hint="eastAsia"/>
          <w:kern w:val="0"/>
          <w:sz w:val="28"/>
          <w:szCs w:val="28"/>
          <w:fitText w:val="8921" w:id="2"/>
        </w:rPr>
        <w:t>施</w:t>
      </w:r>
    </w:p>
    <w:p w14:paraId="7181600D" w14:textId="058E0CD9" w:rsidR="00D900C8" w:rsidRPr="00CB1AE8" w:rsidRDefault="00CA64F3" w:rsidP="00057197">
      <w:pPr>
        <w:spacing w:beforeLines="100" w:before="312"/>
        <w:ind w:firstLineChars="67" w:firstLine="106"/>
        <w:jc w:val="center"/>
        <w:rPr>
          <w:rFonts w:ascii="方正小标宋简体" w:eastAsia="方正小标宋简体" w:hAnsi="方正小标宋简体"/>
          <w:spacing w:val="-20"/>
          <w:kern w:val="0"/>
          <w:sz w:val="52"/>
          <w:szCs w:val="52"/>
        </w:rPr>
        <w:sectPr w:rsidR="00D900C8" w:rsidRPr="00CB1AE8" w:rsidSect="00A84E00">
          <w:headerReference w:type="default" r:id="rId9"/>
          <w:pgSz w:w="11906" w:h="16838"/>
          <w:pgMar w:top="1440" w:right="1800" w:bottom="1440" w:left="1800" w:header="851" w:footer="992" w:gutter="0"/>
          <w:cols w:space="425"/>
          <w:docGrid w:type="lines" w:linePitch="312"/>
        </w:sectPr>
      </w:pPr>
      <w:r w:rsidRPr="00057197">
        <w:rPr>
          <w:rFonts w:ascii="方正小标宋简体" w:eastAsia="方正小标宋简体" w:hAnsi="方正小标宋简体"/>
          <w:noProof/>
          <w:spacing w:val="-20"/>
          <w:kern w:val="0"/>
          <w:fitText w:val="5980" w:id="3"/>
        </w:rPr>
        <mc:AlternateContent>
          <mc:Choice Requires="wps">
            <w:drawing>
              <wp:anchor distT="4294967295" distB="4294967295" distL="114300" distR="114300" simplePos="0" relativeHeight="251661312" behindDoc="0" locked="0" layoutInCell="1" allowOverlap="1" wp14:anchorId="5035E178" wp14:editId="3E17A17E">
                <wp:simplePos x="0" y="0"/>
                <wp:positionH relativeFrom="column">
                  <wp:posOffset>-150178</wp:posOffset>
                </wp:positionH>
                <wp:positionV relativeFrom="paragraph">
                  <wp:posOffset>86042</wp:posOffset>
                </wp:positionV>
                <wp:extent cx="5874385" cy="0"/>
                <wp:effectExtent l="0" t="0" r="0" b="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4385" cy="0"/>
                        </a:xfrm>
                        <a:prstGeom prst="straightConnector1">
                          <a:avLst/>
                        </a:prstGeom>
                        <a:noFill/>
                        <a:ln w="1905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w14:anchorId="4E8164A2" id="AutoShape 3" o:spid="_x0000_s1026" type="#_x0000_t32" style="position:absolute;left:0;text-align:left;margin-left:-11.85pt;margin-top:6.75pt;width:462.5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" strokeweight="1.5pt"/>
            </w:pict>
          </mc:Fallback>
        </mc:AlternateContent>
      </w:r>
      <w:r w:rsidR="00057197" w:rsidRPr="00296A69">
        <w:rPr>
          <w:rFonts w:ascii="宋体" w:hAnsi="宋体" w:cs="宋体" w:hint="eastAsia"/>
          <w:b/>
          <w:spacing w:val="20"/>
          <w:kern w:val="0"/>
          <w:sz w:val="40"/>
          <w:szCs w:val="40"/>
        </w:rPr>
        <w:t>中关村现代能源环境服务产业联盟发布</w:t>
      </w:r>
      <w:r w:rsidR="00487795" w:rsidRPr="00CB1AE8">
        <w:rPr>
          <w:rFonts w:ascii="方正小标宋简体" w:eastAsia="方正小标宋简体" w:hAnsi="方正小标宋简体"/>
          <w:spacing w:val="-20"/>
          <w:kern w:val="0"/>
          <w:sz w:val="52"/>
          <w:szCs w:val="52"/>
        </w:rPr>
        <w:t xml:space="preserve"> </w:t>
      </w:r>
    </w:p>
    <w:p w14:paraId="0B4EC631" w14:textId="77777777" w:rsidR="00594288" w:rsidRPr="00594288" w:rsidRDefault="00594288" w:rsidP="00594288">
      <w:pPr>
        <w:pStyle w:val="a8"/>
        <w:jc w:val="both"/>
        <w:rPr>
          <w:rFonts w:hAnsi="黑体" w:cs="Arial"/>
        </w:rPr>
      </w:pPr>
      <w:r w:rsidRPr="00594288">
        <w:rPr>
          <w:rFonts w:hAnsi="黑体" w:cs="Arial" w:hint="eastAsia"/>
        </w:rPr>
        <w:lastRenderedPageBreak/>
        <w:t>前言</w:t>
      </w:r>
    </w:p>
    <w:p w14:paraId="4776012F" w14:textId="1518357A" w:rsidR="00B43218" w:rsidRDefault="00B43218" w:rsidP="00527DFE">
      <w:pPr>
        <w:spacing w:line="360" w:lineRule="auto"/>
        <w:ind w:firstLine="420"/>
        <w:rPr>
          <w:rFonts w:ascii="Arial" w:eastAsiaTheme="minorEastAsia" w:hAnsi="Arial" w:cs="Arial"/>
        </w:rPr>
      </w:pPr>
      <w:r>
        <w:rPr>
          <w:rFonts w:hint="eastAsia"/>
        </w:rPr>
        <w:t>本标准按照</w:t>
      </w:r>
      <w:r>
        <w:rPr>
          <w:rFonts w:hint="eastAsia"/>
        </w:rPr>
        <w:t>GB/T 1.1</w:t>
      </w:r>
      <w:r>
        <w:rPr>
          <w:rFonts w:hint="eastAsia"/>
        </w:rPr>
        <w:t>—</w:t>
      </w:r>
      <w:r>
        <w:rPr>
          <w:rFonts w:hint="eastAsia"/>
        </w:rPr>
        <w:t>2009</w:t>
      </w:r>
      <w:r>
        <w:rPr>
          <w:rFonts w:hint="eastAsia"/>
        </w:rPr>
        <w:t>给出的规则起草。</w:t>
      </w:r>
    </w:p>
    <w:p w14:paraId="6815F5D4" w14:textId="0F9AFA03" w:rsidR="00594288" w:rsidRPr="00527DFE" w:rsidRDefault="00594288" w:rsidP="00527DFE">
      <w:pPr>
        <w:spacing w:line="360" w:lineRule="auto"/>
        <w:ind w:firstLine="420"/>
        <w:rPr>
          <w:rFonts w:ascii="Arial" w:eastAsiaTheme="minorEastAsia" w:hAnsi="Arial" w:cs="Arial"/>
        </w:rPr>
      </w:pPr>
      <w:r w:rsidRPr="00527DFE">
        <w:rPr>
          <w:rFonts w:ascii="Arial" w:eastAsiaTheme="minorEastAsia" w:hAnsi="Arial" w:cs="Arial" w:hint="eastAsia"/>
        </w:rPr>
        <w:t>本</w:t>
      </w:r>
      <w:r w:rsidR="002B4AE6">
        <w:rPr>
          <w:rFonts w:ascii="Arial" w:eastAsiaTheme="minorEastAsia" w:hAnsi="Arial" w:cs="Arial" w:hint="eastAsia"/>
        </w:rPr>
        <w:t>标准</w:t>
      </w:r>
      <w:r w:rsidRPr="00527DFE">
        <w:rPr>
          <w:rFonts w:ascii="Arial" w:eastAsiaTheme="minorEastAsia" w:hAnsi="Arial" w:cs="Arial" w:hint="eastAsia"/>
        </w:rPr>
        <w:t>规定了</w:t>
      </w:r>
    </w:p>
    <w:p w14:paraId="2D84B06A" w14:textId="79226EDB" w:rsidR="00594288" w:rsidRPr="00527DFE" w:rsidRDefault="00594288" w:rsidP="00527DFE">
      <w:pPr>
        <w:spacing w:line="360" w:lineRule="auto"/>
        <w:ind w:firstLine="420"/>
        <w:rPr>
          <w:rFonts w:ascii="Arial" w:eastAsiaTheme="minorEastAsia" w:hAnsi="Arial" w:cs="Arial"/>
        </w:rPr>
      </w:pPr>
      <w:r w:rsidRPr="00527DFE">
        <w:rPr>
          <w:rFonts w:ascii="Arial" w:eastAsiaTheme="minorEastAsia" w:hAnsi="Arial" w:cs="Arial" w:hint="eastAsia"/>
        </w:rPr>
        <w:t>本</w:t>
      </w:r>
      <w:r w:rsidR="002B4AE6">
        <w:rPr>
          <w:rFonts w:ascii="Arial" w:eastAsiaTheme="minorEastAsia" w:hAnsi="Arial" w:cs="Arial" w:hint="eastAsia"/>
        </w:rPr>
        <w:t>标准</w:t>
      </w:r>
      <w:r w:rsidRPr="00527DFE">
        <w:rPr>
          <w:rFonts w:ascii="Arial" w:eastAsiaTheme="minorEastAsia" w:hAnsi="Arial" w:cs="Arial" w:hint="eastAsia"/>
        </w:rPr>
        <w:t>由归口。</w:t>
      </w:r>
    </w:p>
    <w:p w14:paraId="5670A9A6" w14:textId="77777777" w:rsidR="00594288" w:rsidRPr="00527DFE" w:rsidRDefault="00594288" w:rsidP="00527DFE">
      <w:pPr>
        <w:spacing w:line="360" w:lineRule="auto"/>
        <w:ind w:firstLine="420"/>
        <w:rPr>
          <w:rFonts w:ascii="Arial" w:eastAsiaTheme="minorEastAsia" w:hAnsi="Arial" w:cs="Arial"/>
        </w:rPr>
      </w:pPr>
      <w:r w:rsidRPr="00527DFE">
        <w:rPr>
          <w:rFonts w:ascii="Arial" w:eastAsiaTheme="minorEastAsia" w:hAnsi="Arial" w:cs="Arial" w:hint="eastAsia"/>
        </w:rPr>
        <w:t>主要起草单位：。</w:t>
      </w:r>
    </w:p>
    <w:p w14:paraId="3B2928A9" w14:textId="77777777" w:rsidR="00594288" w:rsidRPr="00527DFE" w:rsidRDefault="00594288" w:rsidP="00527DFE">
      <w:pPr>
        <w:spacing w:line="360" w:lineRule="auto"/>
        <w:ind w:firstLine="420"/>
        <w:rPr>
          <w:rFonts w:ascii="Arial" w:eastAsiaTheme="minorEastAsia" w:hAnsi="Arial" w:cs="Arial"/>
        </w:rPr>
      </w:pPr>
      <w:r w:rsidRPr="00527DFE">
        <w:rPr>
          <w:rFonts w:ascii="Arial" w:eastAsiaTheme="minorEastAsia" w:hAnsi="Arial" w:cs="Arial" w:hint="eastAsia"/>
        </w:rPr>
        <w:t>主要起草人：。</w:t>
      </w:r>
    </w:p>
    <w:p w14:paraId="3509AFB1" w14:textId="2A23E1CF" w:rsidR="00594288" w:rsidRPr="00527DFE" w:rsidRDefault="00594288" w:rsidP="00527DFE">
      <w:pPr>
        <w:spacing w:line="360" w:lineRule="auto"/>
        <w:ind w:firstLine="420"/>
        <w:rPr>
          <w:rFonts w:ascii="Arial" w:eastAsiaTheme="minorEastAsia" w:hAnsi="Arial" w:cs="Arial"/>
        </w:rPr>
      </w:pPr>
      <w:r w:rsidRPr="00527DFE">
        <w:rPr>
          <w:rFonts w:ascii="Arial" w:eastAsiaTheme="minorEastAsia" w:hAnsi="Arial" w:cs="Arial" w:hint="eastAsia"/>
        </w:rPr>
        <w:t>本</w:t>
      </w:r>
      <w:r w:rsidR="002B4AE6">
        <w:rPr>
          <w:rFonts w:ascii="Arial" w:eastAsiaTheme="minorEastAsia" w:hAnsi="Arial" w:cs="Arial" w:hint="eastAsia"/>
        </w:rPr>
        <w:t>标准</w:t>
      </w:r>
      <w:r w:rsidRPr="00527DFE">
        <w:rPr>
          <w:rFonts w:ascii="Arial" w:eastAsiaTheme="minorEastAsia" w:hAnsi="Arial" w:cs="Arial" w:hint="eastAsia"/>
        </w:rPr>
        <w:t>为首次发布。</w:t>
      </w:r>
      <w:r w:rsidRPr="00527DFE">
        <w:rPr>
          <w:rFonts w:ascii="Arial" w:eastAsiaTheme="minorEastAsia" w:hAnsi="Arial" w:cs="Arial" w:hint="eastAsia"/>
        </w:rPr>
        <w:t xml:space="preserve"> </w:t>
      </w:r>
    </w:p>
    <w:p w14:paraId="4FA5DA0A" w14:textId="77777777" w:rsidR="00594288" w:rsidRPr="009F5213" w:rsidRDefault="00594288">
      <w:pPr>
        <w:widowControl/>
        <w:jc w:val="left"/>
        <w:rPr>
          <w:rFonts w:ascii="Book Antiqua" w:hAnsi="Book Antiqua"/>
        </w:rPr>
      </w:pPr>
      <w:r w:rsidRPr="009F5213">
        <w:rPr>
          <w:rFonts w:ascii="Book Antiqua" w:hAnsi="Book Antiqua"/>
        </w:rPr>
        <w:br w:type="page"/>
      </w:r>
    </w:p>
    <w:p w14:paraId="28AA8913" w14:textId="1AEDFD6B" w:rsidR="00594288" w:rsidRPr="00594288" w:rsidRDefault="00B43218" w:rsidP="00594288">
      <w:pPr>
        <w:pStyle w:val="a9"/>
        <w:rPr>
          <w:rFonts w:ascii="STZhongsong" w:eastAsia="STZhongsong" w:hAnsi="STZhongsong" w:cs="Arial"/>
        </w:rPr>
      </w:pPr>
      <w:r w:rsidRPr="00B43218">
        <w:rPr>
          <w:rFonts w:ascii="STZhongsong" w:eastAsia="STZhongsong" w:hAnsi="STZhongsong" w:cs="Arial" w:hint="eastAsia"/>
        </w:rPr>
        <w:lastRenderedPageBreak/>
        <w:t>“领跑者”标准评价要求 教室照明</w:t>
      </w:r>
    </w:p>
    <w:p w14:paraId="315976C5" w14:textId="77777777" w:rsidR="00594288" w:rsidRPr="00594288" w:rsidRDefault="00594288" w:rsidP="00B43218">
      <w:pPr>
        <w:pStyle w:val="aa"/>
        <w:spacing w:before="312" w:after="312"/>
        <w:outlineLvl w:val="0"/>
        <w:rPr>
          <w:rFonts w:hAnsi="黑体" w:cs="Arial"/>
        </w:rPr>
      </w:pPr>
      <w:r w:rsidRPr="00594288">
        <w:rPr>
          <w:rFonts w:hAnsi="黑体" w:cs="Arial" w:hint="eastAsia"/>
        </w:rPr>
        <w:t>1 范围</w:t>
      </w:r>
    </w:p>
    <w:p w14:paraId="21D926DB" w14:textId="77777777" w:rsidR="00B43218" w:rsidRDefault="00B43218" w:rsidP="00B43218">
      <w:pPr>
        <w:pStyle w:val="ab"/>
        <w:rPr>
          <w:noProof w:val="0"/>
        </w:rPr>
      </w:pPr>
      <w:r>
        <w:rPr>
          <w:rFonts w:hint="eastAsia"/>
          <w:noProof w:val="0"/>
        </w:rPr>
        <w:t>本标准规定了中小学校教室用照明产品“领跑者”标准的术语和定义、评价指标体系和评价方法。企业或相关机构在制定企业标准时可参照使用。</w:t>
      </w:r>
    </w:p>
    <w:p w14:paraId="15A9767A" w14:textId="7DC13886" w:rsidR="00594288" w:rsidRDefault="00B43218" w:rsidP="00B43218">
      <w:pPr>
        <w:pStyle w:val="ab"/>
        <w:rPr>
          <w:rFonts w:hint="eastAsia"/>
          <w:noProof w:val="0"/>
        </w:rPr>
      </w:pPr>
      <w:r>
        <w:rPr>
          <w:rFonts w:hint="eastAsia"/>
          <w:noProof w:val="0"/>
        </w:rPr>
        <w:t>本标准适用于中小学校教室用照明产品，包括教室灯和黑板灯。</w:t>
      </w:r>
    </w:p>
    <w:p w14:paraId="3A219305" w14:textId="2D28225C" w:rsidR="00594288" w:rsidRPr="00B43218" w:rsidRDefault="00594288" w:rsidP="00B43218">
      <w:pPr>
        <w:pStyle w:val="aa"/>
        <w:spacing w:before="312" w:after="312"/>
        <w:outlineLvl w:val="0"/>
        <w:rPr>
          <w:rFonts w:hAnsi="黑体" w:cs="Arial" w:hint="eastAsia"/>
        </w:rPr>
      </w:pPr>
      <w:r w:rsidRPr="00594288">
        <w:rPr>
          <w:rFonts w:hAnsi="黑体" w:cs="Arial" w:hint="eastAsia"/>
        </w:rPr>
        <w:t>2 规范性引用文件</w:t>
      </w:r>
    </w:p>
    <w:p w14:paraId="46EB5F21" w14:textId="77777777" w:rsidR="00B43218" w:rsidRDefault="00B43218" w:rsidP="00B43218">
      <w:pPr>
        <w:pStyle w:val="ab"/>
      </w:pPr>
      <w:r>
        <w:rPr>
          <w:rFonts w:hint="eastAsia"/>
        </w:rPr>
        <w:t>下列文件对于本文件的应用是必不可少的。凡是注日期的引用文件，仅所注日期的版本适用于本文件。凡是不注日期的引用文件，其最新版本（包括所有的修改单）适用于本文件。</w:t>
      </w:r>
    </w:p>
    <w:p w14:paraId="4EAD5845" w14:textId="77777777" w:rsidR="00B43218" w:rsidRDefault="00B43218" w:rsidP="00B43218">
      <w:pPr>
        <w:pStyle w:val="ab"/>
        <w:rPr>
          <w:rFonts w:hAnsi="宋体" w:cs="宋体" w:hint="eastAsia"/>
          <w:szCs w:val="21"/>
        </w:rPr>
      </w:pPr>
      <w:r>
        <w:rPr>
          <w:rFonts w:hAnsi="宋体" w:cs="宋体" w:hint="eastAsia"/>
          <w:szCs w:val="21"/>
        </w:rPr>
        <w:t>GB 7000.1 灯具 第1部分：一般要求与试验</w:t>
      </w:r>
    </w:p>
    <w:p w14:paraId="6B2027DB" w14:textId="77777777" w:rsidR="00B43218" w:rsidRDefault="00B43218" w:rsidP="00B43218">
      <w:pPr>
        <w:pStyle w:val="ab"/>
        <w:rPr>
          <w:rFonts w:hAnsi="宋体" w:cs="宋体" w:hint="eastAsia"/>
          <w:szCs w:val="21"/>
        </w:rPr>
      </w:pPr>
      <w:r>
        <w:rPr>
          <w:rFonts w:hAnsi="宋体" w:cs="宋体" w:hint="eastAsia"/>
          <w:szCs w:val="21"/>
        </w:rPr>
        <w:t>GB 7000.201</w:t>
      </w:r>
      <w:r>
        <w:rPr>
          <w:rFonts w:hAnsi="宋体" w:cs="宋体"/>
          <w:szCs w:val="21"/>
        </w:rPr>
        <w:t xml:space="preserve"> </w:t>
      </w:r>
      <w:r>
        <w:rPr>
          <w:rFonts w:hAnsi="宋体" w:cs="宋体" w:hint="eastAsia"/>
          <w:szCs w:val="21"/>
        </w:rPr>
        <w:t xml:space="preserve">灯具 第2-1部分：特殊要求固定式通用灯具  </w:t>
      </w:r>
    </w:p>
    <w:p w14:paraId="4BA5DFC3" w14:textId="77777777" w:rsidR="00B43218" w:rsidRDefault="00B43218" w:rsidP="00B43218">
      <w:pPr>
        <w:pStyle w:val="ab"/>
        <w:rPr>
          <w:rFonts w:hAnsi="宋体" w:cs="宋体" w:hint="eastAsia"/>
          <w:szCs w:val="21"/>
        </w:rPr>
      </w:pPr>
      <w:r>
        <w:rPr>
          <w:rFonts w:hAnsi="宋体" w:cs="宋体" w:hint="eastAsia"/>
          <w:szCs w:val="21"/>
        </w:rPr>
        <w:t>GB 7000.202</w:t>
      </w:r>
      <w:r>
        <w:rPr>
          <w:rFonts w:hAnsi="宋体" w:cs="宋体"/>
          <w:szCs w:val="21"/>
        </w:rPr>
        <w:t xml:space="preserve"> </w:t>
      </w:r>
      <w:r>
        <w:rPr>
          <w:rFonts w:hAnsi="宋体" w:cs="宋体" w:hint="eastAsia"/>
          <w:szCs w:val="21"/>
        </w:rPr>
        <w:t>灯具 第2-2部分：特殊要求 嵌入式灯具</w:t>
      </w:r>
    </w:p>
    <w:p w14:paraId="35862890" w14:textId="77777777" w:rsidR="00B43218" w:rsidRDefault="00B43218" w:rsidP="00B43218">
      <w:pPr>
        <w:pStyle w:val="ab"/>
        <w:rPr>
          <w:rFonts w:hAnsi="宋体" w:cs="宋体" w:hint="eastAsia"/>
          <w:szCs w:val="21"/>
        </w:rPr>
      </w:pPr>
      <w:r>
        <w:rPr>
          <w:rFonts w:hAnsi="宋体" w:cs="宋体" w:hint="eastAsia"/>
          <w:szCs w:val="21"/>
        </w:rPr>
        <w:t>GB</w:t>
      </w:r>
      <w:r>
        <w:rPr>
          <w:rFonts w:hAnsi="宋体" w:cs="宋体"/>
          <w:szCs w:val="21"/>
        </w:rPr>
        <w:t xml:space="preserve"> </w:t>
      </w:r>
      <w:r>
        <w:rPr>
          <w:rFonts w:hAnsi="宋体" w:cs="宋体" w:hint="eastAsia"/>
          <w:szCs w:val="21"/>
        </w:rPr>
        <w:t>17625.1 电磁兼容 限值 谐波电流发射限值（设备每相输入电流 ≤16A）</w:t>
      </w:r>
    </w:p>
    <w:p w14:paraId="76CEE54A" w14:textId="77777777" w:rsidR="00B43218" w:rsidRDefault="00B43218" w:rsidP="00B43218">
      <w:pPr>
        <w:pStyle w:val="ab"/>
        <w:rPr>
          <w:rFonts w:hAnsi="宋体" w:cs="宋体"/>
          <w:szCs w:val="21"/>
        </w:rPr>
      </w:pPr>
      <w:r>
        <w:rPr>
          <w:rFonts w:hAnsi="宋体" w:cs="宋体" w:hint="eastAsia"/>
          <w:szCs w:val="21"/>
        </w:rPr>
        <w:t>GB/T</w:t>
      </w:r>
      <w:r>
        <w:rPr>
          <w:rFonts w:hAnsi="宋体" w:cs="宋体"/>
          <w:szCs w:val="21"/>
        </w:rPr>
        <w:t xml:space="preserve"> </w:t>
      </w:r>
      <w:r>
        <w:rPr>
          <w:rFonts w:hAnsi="宋体" w:cs="宋体" w:hint="eastAsia"/>
          <w:szCs w:val="21"/>
        </w:rPr>
        <w:t>17743</w:t>
      </w:r>
      <w:r>
        <w:rPr>
          <w:rFonts w:hAnsi="宋体" w:cs="宋体"/>
          <w:szCs w:val="21"/>
        </w:rPr>
        <w:t xml:space="preserve"> </w:t>
      </w:r>
      <w:r>
        <w:rPr>
          <w:rFonts w:hAnsi="宋体" w:cs="宋体" w:hint="eastAsia"/>
          <w:szCs w:val="21"/>
        </w:rPr>
        <w:t>电气照明和类似设备的无线电骚扰特性的限值和测量方法</w:t>
      </w:r>
    </w:p>
    <w:p w14:paraId="7A3F44EF" w14:textId="77777777" w:rsidR="00B43218" w:rsidRDefault="00B43218" w:rsidP="00B43218">
      <w:pPr>
        <w:pStyle w:val="ab"/>
        <w:rPr>
          <w:rFonts w:hAnsi="宋体" w:cs="宋体"/>
          <w:szCs w:val="21"/>
        </w:rPr>
      </w:pPr>
      <w:r>
        <w:rPr>
          <w:rFonts w:hAnsi="宋体" w:cs="宋体" w:hint="eastAsia"/>
          <w:szCs w:val="21"/>
        </w:rPr>
        <w:t>GB/T 10682 双端荧光灯 性能要求</w:t>
      </w:r>
    </w:p>
    <w:p w14:paraId="68448B2B" w14:textId="77777777" w:rsidR="00B43218" w:rsidRDefault="00B43218" w:rsidP="00B43218">
      <w:pPr>
        <w:pStyle w:val="ab"/>
        <w:rPr>
          <w:rFonts w:hAnsi="宋体" w:cs="宋体" w:hint="eastAsia"/>
          <w:szCs w:val="21"/>
        </w:rPr>
      </w:pPr>
      <w:r>
        <w:rPr>
          <w:rFonts w:hAnsi="宋体" w:cs="宋体" w:hint="eastAsia"/>
          <w:szCs w:val="21"/>
        </w:rPr>
        <w:t>GB/T 31831 LED室内照明应用技术要求</w:t>
      </w:r>
    </w:p>
    <w:p w14:paraId="289BE4B0" w14:textId="77777777" w:rsidR="00B43218" w:rsidRDefault="00B43218" w:rsidP="00B43218">
      <w:pPr>
        <w:pStyle w:val="ab"/>
        <w:rPr>
          <w:rFonts w:hAnsi="宋体" w:cs="宋体"/>
          <w:szCs w:val="21"/>
        </w:rPr>
      </w:pPr>
      <w:r>
        <w:rPr>
          <w:rFonts w:hAnsi="宋体" w:cs="宋体" w:hint="eastAsia"/>
          <w:szCs w:val="21"/>
        </w:rPr>
        <w:t>GB/T 33721 LED灯具可靠性试验方法</w:t>
      </w:r>
    </w:p>
    <w:p w14:paraId="7FA0F545" w14:textId="77777777" w:rsidR="00B43218" w:rsidRDefault="00B43218" w:rsidP="00B43218">
      <w:pPr>
        <w:pStyle w:val="ab"/>
        <w:rPr>
          <w:rFonts w:hAnsi="宋体" w:cs="宋体" w:hint="eastAsia"/>
          <w:szCs w:val="21"/>
        </w:rPr>
      </w:pPr>
      <w:r>
        <w:rPr>
          <w:rFonts w:hAnsi="宋体" w:cs="宋体" w:hint="eastAsia"/>
          <w:szCs w:val="21"/>
        </w:rPr>
        <w:t>GB 50034 建筑照明设计标准</w:t>
      </w:r>
    </w:p>
    <w:p w14:paraId="5CEE6741" w14:textId="77777777" w:rsidR="00B43218" w:rsidRDefault="00B43218" w:rsidP="00B43218">
      <w:pPr>
        <w:pStyle w:val="ab"/>
        <w:rPr>
          <w:rFonts w:hAnsi="宋体" w:cs="宋体"/>
          <w:szCs w:val="21"/>
        </w:rPr>
      </w:pPr>
      <w:r>
        <w:rPr>
          <w:rFonts w:hAnsi="宋体" w:cs="宋体" w:hint="eastAsia"/>
          <w:szCs w:val="21"/>
        </w:rPr>
        <w:t>IEC/TR 62778 应用IEC 62471评估光源和灯具的蓝光危害（Application of IEC 62471 for the assessment of blue light hazard to light sources and luminaires）</w:t>
      </w:r>
    </w:p>
    <w:p w14:paraId="7F6ED9FD" w14:textId="78A26217" w:rsidR="00594288" w:rsidRPr="00B43218" w:rsidRDefault="00B43218" w:rsidP="00B43218">
      <w:pPr>
        <w:pStyle w:val="ab"/>
        <w:rPr>
          <w:rFonts w:ascii="Arial" w:hAnsi="Arial" w:cs="Arial" w:hint="eastAsia"/>
          <w:szCs w:val="21"/>
        </w:rPr>
      </w:pPr>
      <w:r>
        <w:rPr>
          <w:rFonts w:hAnsi="宋体" w:cs="宋体" w:hint="eastAsia"/>
          <w:szCs w:val="21"/>
        </w:rPr>
        <w:t>IEEE Std 1789</w:t>
      </w:r>
      <w:r>
        <w:rPr>
          <w:rFonts w:hAnsi="宋体" w:cs="宋体"/>
          <w:szCs w:val="21"/>
        </w:rPr>
        <w:t xml:space="preserve"> </w:t>
      </w:r>
      <w:r>
        <w:rPr>
          <w:rFonts w:hAnsi="宋体" w:cs="宋体" w:hint="eastAsia"/>
          <w:szCs w:val="21"/>
        </w:rPr>
        <w:t>IEEE推荐的高光LED减少使用者健康风险调制电流方法（IEEE Recommended Practices for Modulating Current in High-Brightness LEDs for Mitigating Health Risks to Viewers）</w:t>
      </w:r>
    </w:p>
    <w:p w14:paraId="5AADB78B" w14:textId="77777777" w:rsidR="00594288" w:rsidRPr="00AF2775" w:rsidRDefault="00594288" w:rsidP="00B43218">
      <w:pPr>
        <w:pStyle w:val="aa"/>
        <w:spacing w:before="312" w:after="312"/>
        <w:outlineLvl w:val="0"/>
        <w:rPr>
          <w:rFonts w:hAnsi="黑体" w:cs="Arial"/>
        </w:rPr>
      </w:pPr>
      <w:r w:rsidRPr="00AF2775">
        <w:rPr>
          <w:rFonts w:hAnsi="黑体" w:cs="Arial" w:hint="eastAsia"/>
        </w:rPr>
        <w:t>3 术语和定义</w:t>
      </w:r>
    </w:p>
    <w:p w14:paraId="55673A6B" w14:textId="2BBDE6D1" w:rsidR="00594288" w:rsidRPr="00B43218" w:rsidRDefault="00B43218" w:rsidP="00B43218">
      <w:pPr>
        <w:ind w:firstLineChars="200" w:firstLine="420"/>
        <w:jc w:val="left"/>
        <w:rPr>
          <w:rFonts w:ascii="宋体" w:hAnsi="宋体" w:cs="宋体"/>
          <w:noProof/>
          <w:kern w:val="0"/>
          <w:szCs w:val="21"/>
        </w:rPr>
      </w:pPr>
      <w:r w:rsidRPr="00B43218">
        <w:rPr>
          <w:rFonts w:ascii="宋体" w:hAnsi="宋体" w:cs="宋体" w:hint="eastAsia"/>
          <w:noProof/>
          <w:kern w:val="0"/>
          <w:szCs w:val="21"/>
        </w:rPr>
        <w:t>GB 50034-2013、JGJ/T 119—2008界定的以及下列术语和定义适用于本文件。为了便于使用，以下重复列出上述标准中的术语和定义。</w:t>
      </w:r>
    </w:p>
    <w:p w14:paraId="5F5BDE86" w14:textId="77777777" w:rsidR="00B43218" w:rsidRPr="00B43218" w:rsidRDefault="00B43218" w:rsidP="00B43218">
      <w:pPr>
        <w:widowControl/>
        <w:tabs>
          <w:tab w:val="center" w:pos="567"/>
          <w:tab w:val="right" w:leader="dot" w:pos="9298"/>
        </w:tabs>
        <w:autoSpaceDE w:val="0"/>
        <w:autoSpaceDN w:val="0"/>
        <w:spacing w:beforeLines="50" w:before="156" w:afterLines="50" w:after="156"/>
        <w:rPr>
          <w:rFonts w:ascii="黑体" w:eastAsia="黑体" w:hAnsi="黑体"/>
          <w:kern w:val="0"/>
          <w:szCs w:val="20"/>
        </w:rPr>
      </w:pPr>
      <w:r w:rsidRPr="00B43218">
        <w:rPr>
          <w:rFonts w:ascii="黑体" w:eastAsia="黑体" w:hAnsi="黑体" w:hint="eastAsia"/>
          <w:kern w:val="0"/>
          <w:szCs w:val="20"/>
        </w:rPr>
        <w:t>3.1</w:t>
      </w:r>
    </w:p>
    <w:p w14:paraId="62749CAF" w14:textId="77777777" w:rsidR="00B43218" w:rsidRPr="00B43218" w:rsidRDefault="00B43218" w:rsidP="00B43218">
      <w:pPr>
        <w:widowControl/>
        <w:tabs>
          <w:tab w:val="center" w:pos="4201"/>
          <w:tab w:val="right" w:leader="dot" w:pos="9298"/>
        </w:tabs>
        <w:autoSpaceDE w:val="0"/>
        <w:autoSpaceDN w:val="0"/>
        <w:spacing w:beforeLines="50" w:before="156" w:afterLines="50" w:after="156"/>
        <w:ind w:firstLineChars="200" w:firstLine="420"/>
        <w:rPr>
          <w:rFonts w:ascii="黑体" w:eastAsia="黑体" w:hAnsi="黑体"/>
          <w:kern w:val="0"/>
          <w:szCs w:val="20"/>
        </w:rPr>
      </w:pPr>
      <w:r w:rsidRPr="00B43218">
        <w:rPr>
          <w:rFonts w:ascii="黑体" w:eastAsia="黑体" w:hAnsi="黑体" w:hint="eastAsia"/>
          <w:kern w:val="0"/>
          <w:szCs w:val="20"/>
        </w:rPr>
        <w:t>灯具效能  luminaire efficacy</w:t>
      </w:r>
    </w:p>
    <w:p w14:paraId="2EABD5E5" w14:textId="77777777" w:rsidR="00B43218" w:rsidRPr="00B43218" w:rsidRDefault="00B43218" w:rsidP="00B43218">
      <w:pPr>
        <w:widowControl/>
        <w:tabs>
          <w:tab w:val="center" w:pos="4201"/>
          <w:tab w:val="right" w:leader="dot" w:pos="9298"/>
        </w:tabs>
        <w:autoSpaceDE w:val="0"/>
        <w:autoSpaceDN w:val="0"/>
        <w:ind w:firstLineChars="200" w:firstLine="420"/>
        <w:rPr>
          <w:rFonts w:ascii="宋体" w:hAnsi="Times New Roman" w:hint="eastAsia"/>
          <w:kern w:val="0"/>
          <w:szCs w:val="20"/>
        </w:rPr>
      </w:pPr>
      <w:r w:rsidRPr="00B43218">
        <w:rPr>
          <w:rFonts w:ascii="宋体" w:hAnsi="Times New Roman" w:hint="eastAsia"/>
          <w:kern w:val="0"/>
          <w:szCs w:val="20"/>
        </w:rPr>
        <w:t>在规定的使用条件下，灯具发出的总光通量与其所输入的功率之比。单位为</w:t>
      </w:r>
      <w:proofErr w:type="gramStart"/>
      <w:r w:rsidRPr="00B43218">
        <w:rPr>
          <w:rFonts w:ascii="宋体" w:hAnsi="Times New Roman" w:hint="eastAsia"/>
          <w:kern w:val="0"/>
          <w:szCs w:val="20"/>
        </w:rPr>
        <w:t>流明每瓦特</w:t>
      </w:r>
      <w:proofErr w:type="gramEnd"/>
      <w:r w:rsidRPr="00B43218">
        <w:rPr>
          <w:rFonts w:ascii="宋体" w:hAnsi="Times New Roman" w:hint="eastAsia"/>
          <w:kern w:val="0"/>
          <w:szCs w:val="20"/>
        </w:rPr>
        <w:t>（</w:t>
      </w:r>
      <w:proofErr w:type="spellStart"/>
      <w:r w:rsidRPr="00B43218">
        <w:rPr>
          <w:rFonts w:ascii="宋体" w:hAnsi="Times New Roman" w:hint="eastAsia"/>
          <w:kern w:val="0"/>
          <w:szCs w:val="20"/>
        </w:rPr>
        <w:t>lm</w:t>
      </w:r>
      <w:proofErr w:type="spellEnd"/>
      <w:r w:rsidRPr="00B43218">
        <w:rPr>
          <w:rFonts w:ascii="宋体" w:hAnsi="Times New Roman" w:hint="eastAsia"/>
          <w:kern w:val="0"/>
          <w:szCs w:val="20"/>
        </w:rPr>
        <w:t>/W)。</w:t>
      </w:r>
    </w:p>
    <w:p w14:paraId="11397063" w14:textId="77777777" w:rsidR="00B43218" w:rsidRPr="00B43218" w:rsidRDefault="00B43218" w:rsidP="00B43218">
      <w:pPr>
        <w:widowControl/>
        <w:tabs>
          <w:tab w:val="center" w:pos="567"/>
          <w:tab w:val="right" w:leader="dot" w:pos="9298"/>
        </w:tabs>
        <w:autoSpaceDE w:val="0"/>
        <w:autoSpaceDN w:val="0"/>
        <w:spacing w:beforeLines="50" w:before="156" w:afterLines="50" w:after="156"/>
        <w:rPr>
          <w:rFonts w:ascii="黑体" w:eastAsia="黑体" w:hAnsi="黑体"/>
          <w:kern w:val="0"/>
          <w:szCs w:val="20"/>
        </w:rPr>
      </w:pPr>
      <w:r w:rsidRPr="00B43218">
        <w:rPr>
          <w:rFonts w:ascii="黑体" w:eastAsia="黑体" w:hAnsi="黑体" w:hint="eastAsia"/>
          <w:kern w:val="0"/>
          <w:szCs w:val="20"/>
        </w:rPr>
        <w:t>3.2</w:t>
      </w:r>
    </w:p>
    <w:p w14:paraId="6399304C" w14:textId="77777777" w:rsidR="00B43218" w:rsidRPr="00B43218" w:rsidRDefault="00B43218" w:rsidP="00B43218">
      <w:pPr>
        <w:widowControl/>
        <w:tabs>
          <w:tab w:val="center" w:pos="4201"/>
          <w:tab w:val="right" w:leader="dot" w:pos="9298"/>
        </w:tabs>
        <w:autoSpaceDE w:val="0"/>
        <w:autoSpaceDN w:val="0"/>
        <w:spacing w:beforeLines="50" w:before="156" w:afterLines="50" w:after="156"/>
        <w:ind w:firstLineChars="200" w:firstLine="420"/>
        <w:rPr>
          <w:rFonts w:ascii="黑体" w:eastAsia="黑体" w:hAnsi="黑体"/>
          <w:kern w:val="0"/>
          <w:szCs w:val="20"/>
        </w:rPr>
      </w:pPr>
      <w:r w:rsidRPr="00B43218">
        <w:rPr>
          <w:rFonts w:ascii="黑体" w:eastAsia="黑体" w:hAnsi="黑体" w:hint="eastAsia"/>
          <w:kern w:val="0"/>
          <w:szCs w:val="20"/>
        </w:rPr>
        <w:t xml:space="preserve">相关色温  correlated </w:t>
      </w:r>
      <w:proofErr w:type="spellStart"/>
      <w:r w:rsidRPr="00B43218">
        <w:rPr>
          <w:rFonts w:ascii="黑体" w:eastAsia="黑体" w:hAnsi="黑体" w:hint="eastAsia"/>
          <w:kern w:val="0"/>
          <w:szCs w:val="20"/>
        </w:rPr>
        <w:t>colour</w:t>
      </w:r>
      <w:proofErr w:type="spellEnd"/>
      <w:r w:rsidRPr="00B43218">
        <w:rPr>
          <w:rFonts w:ascii="黑体" w:eastAsia="黑体" w:hAnsi="黑体" w:hint="eastAsia"/>
          <w:kern w:val="0"/>
          <w:szCs w:val="20"/>
        </w:rPr>
        <w:t xml:space="preserve"> temperature</w:t>
      </w:r>
    </w:p>
    <w:p w14:paraId="06DEC581" w14:textId="77777777" w:rsidR="00B43218" w:rsidRPr="00B43218" w:rsidRDefault="00B43218" w:rsidP="00B43218">
      <w:pPr>
        <w:widowControl/>
        <w:tabs>
          <w:tab w:val="center" w:pos="4201"/>
          <w:tab w:val="right" w:leader="dot" w:pos="9298"/>
        </w:tabs>
        <w:autoSpaceDE w:val="0"/>
        <w:autoSpaceDN w:val="0"/>
        <w:ind w:firstLineChars="200" w:firstLine="420"/>
        <w:rPr>
          <w:rFonts w:ascii="宋体" w:hAnsi="Times New Roman"/>
          <w:kern w:val="0"/>
          <w:szCs w:val="20"/>
        </w:rPr>
      </w:pPr>
      <w:r w:rsidRPr="00B43218">
        <w:rPr>
          <w:rFonts w:ascii="宋体" w:hAnsi="Times New Roman" w:hint="eastAsia"/>
          <w:kern w:val="0"/>
          <w:szCs w:val="20"/>
        </w:rPr>
        <w:t>当光源的色品点不在黑体轨迹上，且光源的色品与某一温度下黑体的色品最接近时，该黑体的绝对温度为此光源的相关色温，简称相关色温。符号为</w:t>
      </w:r>
      <w:proofErr w:type="spellStart"/>
      <w:r w:rsidRPr="00B43218">
        <w:rPr>
          <w:rFonts w:ascii="宋体" w:hAnsi="Times New Roman" w:hint="eastAsia"/>
          <w:kern w:val="0"/>
          <w:szCs w:val="20"/>
        </w:rPr>
        <w:t>T</w:t>
      </w:r>
      <w:r w:rsidRPr="00B43218">
        <w:rPr>
          <w:rFonts w:ascii="宋体" w:hAnsi="Times New Roman" w:hint="eastAsia"/>
          <w:kern w:val="0"/>
          <w:szCs w:val="20"/>
          <w:vertAlign w:val="subscript"/>
        </w:rPr>
        <w:t>Cp</w:t>
      </w:r>
      <w:proofErr w:type="spellEnd"/>
      <w:r w:rsidRPr="00B43218">
        <w:rPr>
          <w:rFonts w:ascii="宋体" w:hAnsi="Times New Roman" w:hint="eastAsia"/>
          <w:kern w:val="0"/>
          <w:szCs w:val="20"/>
        </w:rPr>
        <w:t>，单位：K。</w:t>
      </w:r>
    </w:p>
    <w:p w14:paraId="2B4B9CF0" w14:textId="77777777" w:rsidR="00B43218" w:rsidRPr="00B43218" w:rsidRDefault="00B43218" w:rsidP="00B43218">
      <w:pPr>
        <w:widowControl/>
        <w:tabs>
          <w:tab w:val="center" w:pos="567"/>
          <w:tab w:val="right" w:leader="dot" w:pos="9298"/>
        </w:tabs>
        <w:autoSpaceDE w:val="0"/>
        <w:autoSpaceDN w:val="0"/>
        <w:spacing w:beforeLines="50" w:before="156" w:afterLines="50" w:after="156"/>
        <w:rPr>
          <w:rFonts w:ascii="黑体" w:eastAsia="黑体" w:hAnsi="黑体"/>
          <w:kern w:val="0"/>
          <w:szCs w:val="20"/>
        </w:rPr>
      </w:pPr>
      <w:r w:rsidRPr="00B43218">
        <w:rPr>
          <w:rFonts w:ascii="黑体" w:eastAsia="黑体" w:hAnsi="黑体" w:hint="eastAsia"/>
          <w:kern w:val="0"/>
          <w:szCs w:val="20"/>
        </w:rPr>
        <w:t>3.3</w:t>
      </w:r>
    </w:p>
    <w:p w14:paraId="0ED06A13" w14:textId="77777777" w:rsidR="00B43218" w:rsidRPr="00B43218" w:rsidRDefault="00B43218" w:rsidP="00B43218">
      <w:pPr>
        <w:widowControl/>
        <w:tabs>
          <w:tab w:val="center" w:pos="4201"/>
          <w:tab w:val="right" w:leader="dot" w:pos="9298"/>
        </w:tabs>
        <w:autoSpaceDE w:val="0"/>
        <w:autoSpaceDN w:val="0"/>
        <w:spacing w:beforeLines="50" w:before="156" w:afterLines="50" w:after="156"/>
        <w:ind w:firstLineChars="200" w:firstLine="420"/>
        <w:rPr>
          <w:rFonts w:ascii="黑体" w:eastAsia="黑体" w:hAnsi="黑体" w:hint="eastAsia"/>
          <w:kern w:val="0"/>
          <w:szCs w:val="20"/>
        </w:rPr>
      </w:pPr>
      <w:r w:rsidRPr="00B43218">
        <w:rPr>
          <w:rFonts w:ascii="黑体" w:eastAsia="黑体" w:hAnsi="黑体" w:hint="eastAsia"/>
          <w:kern w:val="0"/>
          <w:szCs w:val="20"/>
        </w:rPr>
        <w:t xml:space="preserve">显色指数  </w:t>
      </w:r>
      <w:proofErr w:type="spellStart"/>
      <w:r w:rsidRPr="00B43218">
        <w:rPr>
          <w:rFonts w:ascii="黑体" w:eastAsia="黑体" w:hAnsi="黑体" w:hint="eastAsia"/>
          <w:kern w:val="0"/>
          <w:szCs w:val="20"/>
        </w:rPr>
        <w:t>colour</w:t>
      </w:r>
      <w:proofErr w:type="spellEnd"/>
      <w:r w:rsidRPr="00B43218">
        <w:rPr>
          <w:rFonts w:ascii="黑体" w:eastAsia="黑体" w:hAnsi="黑体" w:hint="eastAsia"/>
          <w:kern w:val="0"/>
          <w:szCs w:val="20"/>
        </w:rPr>
        <w:t xml:space="preserve"> rendering index</w:t>
      </w:r>
    </w:p>
    <w:p w14:paraId="6C8207EF" w14:textId="77777777" w:rsidR="00B43218" w:rsidRPr="00B43218" w:rsidRDefault="00B43218" w:rsidP="00B43218">
      <w:pPr>
        <w:widowControl/>
        <w:tabs>
          <w:tab w:val="center" w:pos="4201"/>
          <w:tab w:val="right" w:leader="dot" w:pos="9298"/>
        </w:tabs>
        <w:autoSpaceDE w:val="0"/>
        <w:autoSpaceDN w:val="0"/>
        <w:ind w:firstLineChars="200" w:firstLine="420"/>
        <w:rPr>
          <w:rFonts w:ascii="宋体" w:hAnsi="Times New Roman"/>
          <w:kern w:val="0"/>
          <w:szCs w:val="20"/>
        </w:rPr>
      </w:pPr>
      <w:r w:rsidRPr="00B43218">
        <w:rPr>
          <w:rFonts w:ascii="宋体" w:hAnsi="Times New Roman" w:hint="eastAsia"/>
          <w:kern w:val="0"/>
          <w:szCs w:val="20"/>
        </w:rPr>
        <w:lastRenderedPageBreak/>
        <w:t>光源显色性的度量。以被测光源下物体颜色和参考标准光源下物体颜色的相符程度来表示。</w:t>
      </w:r>
      <w:proofErr w:type="gramStart"/>
      <w:r w:rsidRPr="00B43218">
        <w:rPr>
          <w:rFonts w:ascii="宋体" w:hAnsi="Times New Roman" w:hint="eastAsia"/>
          <w:kern w:val="0"/>
          <w:szCs w:val="20"/>
        </w:rPr>
        <w:t>该量的</w:t>
      </w:r>
      <w:proofErr w:type="gramEnd"/>
      <w:r w:rsidRPr="00B43218">
        <w:rPr>
          <w:rFonts w:ascii="宋体" w:hAnsi="Times New Roman" w:hint="eastAsia"/>
          <w:kern w:val="0"/>
          <w:szCs w:val="20"/>
        </w:rPr>
        <w:t>符号为R。</w:t>
      </w:r>
    </w:p>
    <w:p w14:paraId="53773C08" w14:textId="77777777" w:rsidR="00B43218" w:rsidRPr="00B43218" w:rsidRDefault="00B43218" w:rsidP="00B43218">
      <w:pPr>
        <w:widowControl/>
        <w:tabs>
          <w:tab w:val="center" w:pos="4201"/>
          <w:tab w:val="right" w:leader="dot" w:pos="9298"/>
        </w:tabs>
        <w:autoSpaceDE w:val="0"/>
        <w:autoSpaceDN w:val="0"/>
        <w:ind w:firstLineChars="200" w:firstLine="420"/>
        <w:rPr>
          <w:rFonts w:ascii="宋体" w:hAnsi="Times New Roman" w:hint="eastAsia"/>
          <w:kern w:val="0"/>
          <w:szCs w:val="20"/>
        </w:rPr>
      </w:pPr>
    </w:p>
    <w:p w14:paraId="2046E170" w14:textId="77777777" w:rsidR="00B43218" w:rsidRPr="00B43218" w:rsidRDefault="00B43218" w:rsidP="00B43218">
      <w:pPr>
        <w:widowControl/>
        <w:tabs>
          <w:tab w:val="center" w:pos="567"/>
          <w:tab w:val="right" w:leader="dot" w:pos="9298"/>
        </w:tabs>
        <w:autoSpaceDE w:val="0"/>
        <w:autoSpaceDN w:val="0"/>
        <w:spacing w:beforeLines="50" w:before="156" w:afterLines="50" w:after="156"/>
        <w:rPr>
          <w:rFonts w:ascii="黑体" w:eastAsia="黑体" w:hAnsi="黑体"/>
          <w:kern w:val="0"/>
          <w:szCs w:val="20"/>
        </w:rPr>
      </w:pPr>
      <w:r w:rsidRPr="00B43218">
        <w:rPr>
          <w:rFonts w:ascii="黑体" w:eastAsia="黑体" w:hAnsi="黑体" w:hint="eastAsia"/>
          <w:kern w:val="0"/>
          <w:szCs w:val="20"/>
        </w:rPr>
        <w:t>3.4</w:t>
      </w:r>
    </w:p>
    <w:p w14:paraId="5A435A0E" w14:textId="77777777" w:rsidR="00B43218" w:rsidRPr="00B43218" w:rsidRDefault="00B43218" w:rsidP="00B43218">
      <w:pPr>
        <w:widowControl/>
        <w:tabs>
          <w:tab w:val="center" w:pos="4201"/>
          <w:tab w:val="right" w:leader="dot" w:pos="9298"/>
        </w:tabs>
        <w:autoSpaceDE w:val="0"/>
        <w:autoSpaceDN w:val="0"/>
        <w:spacing w:beforeLines="50" w:before="156" w:afterLines="50" w:after="156"/>
        <w:ind w:firstLineChars="200" w:firstLine="420"/>
        <w:rPr>
          <w:rFonts w:ascii="黑体" w:eastAsia="黑体" w:hAnsi="黑体"/>
          <w:kern w:val="0"/>
          <w:szCs w:val="20"/>
        </w:rPr>
      </w:pPr>
      <w:r w:rsidRPr="00B43218">
        <w:rPr>
          <w:rFonts w:ascii="黑体" w:eastAsia="黑体" w:hAnsi="黑体" w:hint="eastAsia"/>
          <w:kern w:val="0"/>
          <w:szCs w:val="20"/>
        </w:rPr>
        <w:t xml:space="preserve">CIE 特殊显色指数  CIE special </w:t>
      </w:r>
      <w:proofErr w:type="spellStart"/>
      <w:r w:rsidRPr="00B43218">
        <w:rPr>
          <w:rFonts w:ascii="黑体" w:eastAsia="黑体" w:hAnsi="黑体" w:hint="eastAsia"/>
          <w:kern w:val="0"/>
          <w:szCs w:val="20"/>
        </w:rPr>
        <w:t>colour</w:t>
      </w:r>
      <w:proofErr w:type="spellEnd"/>
      <w:r w:rsidRPr="00B43218">
        <w:rPr>
          <w:rFonts w:ascii="黑体" w:eastAsia="黑体" w:hAnsi="黑体" w:hint="eastAsia"/>
          <w:kern w:val="0"/>
          <w:szCs w:val="20"/>
        </w:rPr>
        <w:t xml:space="preserve"> rendering index</w:t>
      </w:r>
    </w:p>
    <w:p w14:paraId="64E2B927" w14:textId="77777777" w:rsidR="00B43218" w:rsidRPr="00B43218" w:rsidRDefault="00B43218" w:rsidP="00B43218">
      <w:pPr>
        <w:widowControl/>
        <w:tabs>
          <w:tab w:val="center" w:pos="4201"/>
          <w:tab w:val="right" w:leader="dot" w:pos="9298"/>
        </w:tabs>
        <w:autoSpaceDE w:val="0"/>
        <w:autoSpaceDN w:val="0"/>
        <w:ind w:firstLineChars="200" w:firstLine="420"/>
        <w:rPr>
          <w:rFonts w:ascii="宋体" w:hAnsi="Times New Roman" w:hint="eastAsia"/>
          <w:kern w:val="0"/>
          <w:szCs w:val="20"/>
        </w:rPr>
      </w:pPr>
      <w:r w:rsidRPr="00B43218">
        <w:rPr>
          <w:rFonts w:ascii="宋体" w:hAnsi="Times New Roman" w:hint="eastAsia"/>
          <w:kern w:val="0"/>
          <w:szCs w:val="20"/>
        </w:rPr>
        <w:t>光源对国际照明委员会（CIE）某一选定的标准颜色样品的显色指数。</w:t>
      </w:r>
      <w:proofErr w:type="gramStart"/>
      <w:r w:rsidRPr="00B43218">
        <w:rPr>
          <w:rFonts w:ascii="宋体" w:hAnsi="Times New Roman" w:hint="eastAsia"/>
          <w:kern w:val="0"/>
          <w:szCs w:val="20"/>
        </w:rPr>
        <w:t>该量的</w:t>
      </w:r>
      <w:proofErr w:type="gramEnd"/>
      <w:r w:rsidRPr="00B43218">
        <w:rPr>
          <w:rFonts w:ascii="宋体" w:hAnsi="Times New Roman" w:hint="eastAsia"/>
          <w:kern w:val="0"/>
          <w:szCs w:val="20"/>
        </w:rPr>
        <w:t>符号为</w:t>
      </w:r>
      <w:r w:rsidRPr="00B43218">
        <w:rPr>
          <w:rFonts w:ascii="宋体" w:hAnsi="Times New Roman" w:hint="eastAsia"/>
          <w:i/>
          <w:kern w:val="0"/>
          <w:szCs w:val="20"/>
        </w:rPr>
        <w:t>R</w:t>
      </w:r>
      <w:r w:rsidRPr="00B43218">
        <w:rPr>
          <w:rFonts w:ascii="宋体" w:hAnsi="Times New Roman" w:hint="eastAsia"/>
          <w:i/>
          <w:kern w:val="0"/>
          <w:sz w:val="28"/>
          <w:szCs w:val="28"/>
          <w:vertAlign w:val="subscript"/>
        </w:rPr>
        <w:t>i</w:t>
      </w:r>
      <w:r w:rsidRPr="00B43218">
        <w:rPr>
          <w:rFonts w:ascii="宋体" w:hAnsi="Times New Roman" w:hint="eastAsia"/>
          <w:kern w:val="0"/>
          <w:szCs w:val="20"/>
        </w:rPr>
        <w:t>。</w:t>
      </w:r>
    </w:p>
    <w:p w14:paraId="68E606D9" w14:textId="77777777" w:rsidR="00B43218" w:rsidRPr="00B43218" w:rsidRDefault="00B43218" w:rsidP="00B43218">
      <w:pPr>
        <w:widowControl/>
        <w:tabs>
          <w:tab w:val="center" w:pos="567"/>
          <w:tab w:val="right" w:leader="dot" w:pos="9298"/>
        </w:tabs>
        <w:autoSpaceDE w:val="0"/>
        <w:autoSpaceDN w:val="0"/>
        <w:spacing w:beforeLines="50" w:before="156" w:afterLines="50" w:after="156"/>
        <w:rPr>
          <w:rFonts w:ascii="黑体" w:eastAsia="黑体" w:hAnsi="黑体"/>
          <w:kern w:val="0"/>
          <w:szCs w:val="20"/>
        </w:rPr>
      </w:pPr>
      <w:r w:rsidRPr="00B43218">
        <w:rPr>
          <w:rFonts w:ascii="黑体" w:eastAsia="黑体" w:hAnsi="黑体" w:hint="eastAsia"/>
          <w:kern w:val="0"/>
          <w:szCs w:val="20"/>
        </w:rPr>
        <w:t>3.5</w:t>
      </w:r>
    </w:p>
    <w:p w14:paraId="5BA1B26F" w14:textId="77777777" w:rsidR="00B43218" w:rsidRPr="00B43218" w:rsidRDefault="00B43218" w:rsidP="00B43218">
      <w:pPr>
        <w:widowControl/>
        <w:tabs>
          <w:tab w:val="center" w:pos="4201"/>
          <w:tab w:val="right" w:leader="dot" w:pos="9298"/>
        </w:tabs>
        <w:autoSpaceDE w:val="0"/>
        <w:autoSpaceDN w:val="0"/>
        <w:spacing w:beforeLines="50" w:before="156" w:afterLines="50" w:after="156"/>
        <w:ind w:firstLineChars="200" w:firstLine="420"/>
        <w:rPr>
          <w:rFonts w:ascii="黑体" w:eastAsia="黑体" w:hAnsi="黑体" w:hint="eastAsia"/>
          <w:kern w:val="0"/>
          <w:szCs w:val="20"/>
        </w:rPr>
      </w:pPr>
      <w:r w:rsidRPr="00B43218">
        <w:rPr>
          <w:rFonts w:ascii="黑体" w:eastAsia="黑体" w:hAnsi="黑体" w:hint="eastAsia"/>
          <w:kern w:val="0"/>
          <w:szCs w:val="20"/>
        </w:rPr>
        <w:t xml:space="preserve">CIE 一般显色指数  CIE general </w:t>
      </w:r>
      <w:proofErr w:type="spellStart"/>
      <w:r w:rsidRPr="00B43218">
        <w:rPr>
          <w:rFonts w:ascii="黑体" w:eastAsia="黑体" w:hAnsi="黑体" w:hint="eastAsia"/>
          <w:kern w:val="0"/>
          <w:szCs w:val="20"/>
        </w:rPr>
        <w:t>colour</w:t>
      </w:r>
      <w:proofErr w:type="spellEnd"/>
      <w:r w:rsidRPr="00B43218">
        <w:rPr>
          <w:rFonts w:ascii="黑体" w:eastAsia="黑体" w:hAnsi="黑体" w:hint="eastAsia"/>
          <w:kern w:val="0"/>
          <w:szCs w:val="20"/>
        </w:rPr>
        <w:t xml:space="preserve"> rendering index</w:t>
      </w:r>
    </w:p>
    <w:p w14:paraId="654732F9" w14:textId="77777777" w:rsidR="00B43218" w:rsidRPr="00B43218" w:rsidRDefault="00B43218" w:rsidP="00B43218">
      <w:pPr>
        <w:widowControl/>
        <w:tabs>
          <w:tab w:val="center" w:pos="4201"/>
          <w:tab w:val="right" w:leader="dot" w:pos="9298"/>
        </w:tabs>
        <w:autoSpaceDE w:val="0"/>
        <w:autoSpaceDN w:val="0"/>
        <w:ind w:firstLineChars="200" w:firstLine="420"/>
        <w:rPr>
          <w:rFonts w:ascii="宋体" w:hAnsi="Times New Roman" w:hint="eastAsia"/>
          <w:kern w:val="0"/>
          <w:szCs w:val="20"/>
        </w:rPr>
      </w:pPr>
      <w:r w:rsidRPr="00B43218">
        <w:rPr>
          <w:rFonts w:ascii="宋体" w:hAnsi="Times New Roman" w:hint="eastAsia"/>
          <w:kern w:val="0"/>
          <w:szCs w:val="20"/>
        </w:rPr>
        <w:t>光源对国际照明委员会（CIE）规定的八种标准颜色样品特殊显色指数的平均值,通称显色指数。</w:t>
      </w:r>
      <w:proofErr w:type="gramStart"/>
      <w:r w:rsidRPr="00B43218">
        <w:rPr>
          <w:rFonts w:ascii="宋体" w:hAnsi="Times New Roman" w:hint="eastAsia"/>
          <w:kern w:val="0"/>
          <w:szCs w:val="20"/>
        </w:rPr>
        <w:t>该量的</w:t>
      </w:r>
      <w:proofErr w:type="gramEnd"/>
      <w:r w:rsidRPr="00B43218">
        <w:rPr>
          <w:rFonts w:ascii="宋体" w:hAnsi="Times New Roman" w:hint="eastAsia"/>
          <w:kern w:val="0"/>
          <w:szCs w:val="20"/>
        </w:rPr>
        <w:t>符号为</w:t>
      </w:r>
      <w:r w:rsidRPr="00B43218">
        <w:rPr>
          <w:rFonts w:ascii="宋体" w:hAnsi="Times New Roman" w:hint="eastAsia"/>
          <w:i/>
          <w:kern w:val="0"/>
          <w:szCs w:val="20"/>
        </w:rPr>
        <w:t>R</w:t>
      </w:r>
      <w:r w:rsidRPr="00B43218">
        <w:rPr>
          <w:rFonts w:ascii="宋体" w:hAnsi="Times New Roman" w:hint="eastAsia"/>
          <w:i/>
          <w:kern w:val="0"/>
          <w:szCs w:val="20"/>
          <w:vertAlign w:val="subscript"/>
        </w:rPr>
        <w:t>a</w:t>
      </w:r>
      <w:r w:rsidRPr="00B43218">
        <w:rPr>
          <w:rFonts w:ascii="宋体" w:hAnsi="Times New Roman" w:hint="eastAsia"/>
          <w:kern w:val="0"/>
          <w:szCs w:val="20"/>
        </w:rPr>
        <w:t>。</w:t>
      </w:r>
    </w:p>
    <w:p w14:paraId="777B74D0" w14:textId="77777777" w:rsidR="00B43218" w:rsidRPr="00B43218" w:rsidRDefault="00B43218" w:rsidP="00B43218">
      <w:pPr>
        <w:widowControl/>
        <w:tabs>
          <w:tab w:val="center" w:pos="4201"/>
          <w:tab w:val="right" w:leader="dot" w:pos="9298"/>
        </w:tabs>
        <w:autoSpaceDE w:val="0"/>
        <w:autoSpaceDN w:val="0"/>
        <w:ind w:firstLineChars="200" w:firstLine="420"/>
        <w:rPr>
          <w:rFonts w:ascii="宋体" w:hAnsi="Times New Roman" w:hint="eastAsia"/>
          <w:kern w:val="0"/>
          <w:szCs w:val="20"/>
        </w:rPr>
      </w:pPr>
    </w:p>
    <w:p w14:paraId="563D4127" w14:textId="77777777" w:rsidR="00B43218" w:rsidRPr="00B43218" w:rsidRDefault="00B43218" w:rsidP="00B43218">
      <w:pPr>
        <w:widowControl/>
        <w:tabs>
          <w:tab w:val="center" w:pos="567"/>
          <w:tab w:val="right" w:leader="dot" w:pos="9298"/>
        </w:tabs>
        <w:autoSpaceDE w:val="0"/>
        <w:autoSpaceDN w:val="0"/>
        <w:spacing w:beforeLines="50" w:before="156" w:afterLines="50" w:after="156"/>
        <w:rPr>
          <w:rFonts w:ascii="黑体" w:eastAsia="黑体" w:hAnsi="黑体"/>
          <w:kern w:val="0"/>
          <w:szCs w:val="20"/>
        </w:rPr>
      </w:pPr>
      <w:r w:rsidRPr="00B43218">
        <w:rPr>
          <w:rFonts w:ascii="黑体" w:eastAsia="黑体" w:hAnsi="黑体" w:hint="eastAsia"/>
          <w:kern w:val="0"/>
          <w:szCs w:val="20"/>
        </w:rPr>
        <w:t>3.6</w:t>
      </w:r>
    </w:p>
    <w:p w14:paraId="06F95D19" w14:textId="77777777" w:rsidR="00B43218" w:rsidRPr="00B43218" w:rsidRDefault="00B43218" w:rsidP="00B43218">
      <w:pPr>
        <w:widowControl/>
        <w:tabs>
          <w:tab w:val="center" w:pos="4201"/>
          <w:tab w:val="right" w:leader="dot" w:pos="9298"/>
        </w:tabs>
        <w:autoSpaceDE w:val="0"/>
        <w:autoSpaceDN w:val="0"/>
        <w:spacing w:beforeLines="50" w:before="156" w:afterLines="50" w:after="156"/>
        <w:ind w:firstLineChars="200" w:firstLine="420"/>
        <w:rPr>
          <w:rFonts w:ascii="黑体" w:eastAsia="黑体" w:hAnsi="黑体"/>
          <w:kern w:val="0"/>
          <w:szCs w:val="20"/>
        </w:rPr>
      </w:pPr>
      <w:r w:rsidRPr="00B43218">
        <w:rPr>
          <w:rFonts w:ascii="黑体" w:eastAsia="黑体" w:hAnsi="黑体" w:hint="eastAsia"/>
          <w:kern w:val="0"/>
          <w:szCs w:val="20"/>
        </w:rPr>
        <w:t>色容差  chromaticity tolerances</w:t>
      </w:r>
    </w:p>
    <w:p w14:paraId="27753916" w14:textId="77777777" w:rsidR="00B43218" w:rsidRPr="00B43218" w:rsidRDefault="00B43218" w:rsidP="00B43218">
      <w:pPr>
        <w:widowControl/>
        <w:tabs>
          <w:tab w:val="center" w:pos="4201"/>
          <w:tab w:val="right" w:leader="dot" w:pos="9298"/>
        </w:tabs>
        <w:autoSpaceDE w:val="0"/>
        <w:autoSpaceDN w:val="0"/>
        <w:ind w:firstLineChars="200" w:firstLine="420"/>
        <w:rPr>
          <w:rFonts w:ascii="宋体" w:hAnsi="Times New Roman" w:hint="eastAsia"/>
          <w:kern w:val="0"/>
          <w:szCs w:val="20"/>
        </w:rPr>
      </w:pPr>
      <w:r w:rsidRPr="00B43218">
        <w:rPr>
          <w:rFonts w:ascii="宋体" w:hAnsi="Times New Roman" w:hint="eastAsia"/>
          <w:kern w:val="0"/>
          <w:szCs w:val="20"/>
        </w:rPr>
        <w:t>表征一批光源中各光源色品与光源额定色品的偏离，用颜色匹配标准偏差SDCM表示。</w:t>
      </w:r>
    </w:p>
    <w:p w14:paraId="571BD2E3" w14:textId="77777777" w:rsidR="00B43218" w:rsidRPr="00B43218" w:rsidRDefault="00B43218" w:rsidP="00B43218">
      <w:pPr>
        <w:widowControl/>
        <w:tabs>
          <w:tab w:val="center" w:pos="567"/>
          <w:tab w:val="right" w:leader="dot" w:pos="9298"/>
        </w:tabs>
        <w:autoSpaceDE w:val="0"/>
        <w:autoSpaceDN w:val="0"/>
        <w:spacing w:beforeLines="50" w:before="156" w:afterLines="50" w:after="156"/>
        <w:rPr>
          <w:rFonts w:ascii="黑体" w:eastAsia="黑体" w:hAnsi="黑体"/>
          <w:kern w:val="0"/>
          <w:szCs w:val="20"/>
        </w:rPr>
      </w:pPr>
      <w:r w:rsidRPr="00B43218">
        <w:rPr>
          <w:rFonts w:ascii="黑体" w:eastAsia="黑体" w:hAnsi="黑体" w:hint="eastAsia"/>
          <w:kern w:val="0"/>
          <w:szCs w:val="20"/>
        </w:rPr>
        <w:t>3.7</w:t>
      </w:r>
    </w:p>
    <w:p w14:paraId="61763CC2" w14:textId="77777777" w:rsidR="00B43218" w:rsidRPr="00B43218" w:rsidRDefault="00B43218" w:rsidP="00B43218">
      <w:pPr>
        <w:widowControl/>
        <w:tabs>
          <w:tab w:val="center" w:pos="4201"/>
          <w:tab w:val="right" w:leader="dot" w:pos="9298"/>
        </w:tabs>
        <w:autoSpaceDE w:val="0"/>
        <w:autoSpaceDN w:val="0"/>
        <w:spacing w:beforeLines="50" w:before="156" w:afterLines="50" w:after="156"/>
        <w:ind w:firstLineChars="200" w:firstLine="420"/>
        <w:rPr>
          <w:rFonts w:ascii="黑体" w:eastAsia="黑体" w:hAnsi="黑体"/>
          <w:kern w:val="0"/>
          <w:szCs w:val="20"/>
        </w:rPr>
      </w:pPr>
      <w:r w:rsidRPr="00B43218">
        <w:rPr>
          <w:rFonts w:ascii="黑体" w:eastAsia="黑体" w:hAnsi="黑体" w:hint="eastAsia"/>
          <w:kern w:val="0"/>
          <w:szCs w:val="20"/>
        </w:rPr>
        <w:t>色品空间不一致性  spatial non-</w:t>
      </w:r>
      <w:proofErr w:type="spellStart"/>
      <w:r w:rsidRPr="00B43218">
        <w:rPr>
          <w:rFonts w:ascii="黑体" w:eastAsia="黑体" w:hAnsi="黑体" w:hint="eastAsia"/>
          <w:kern w:val="0"/>
          <w:szCs w:val="20"/>
        </w:rPr>
        <w:t>unifomity</w:t>
      </w:r>
      <w:proofErr w:type="spellEnd"/>
      <w:r w:rsidRPr="00B43218">
        <w:rPr>
          <w:rFonts w:ascii="黑体" w:eastAsia="黑体" w:hAnsi="黑体" w:hint="eastAsia"/>
          <w:kern w:val="0"/>
          <w:szCs w:val="20"/>
        </w:rPr>
        <w:t xml:space="preserve"> of chromaticity</w:t>
      </w:r>
    </w:p>
    <w:p w14:paraId="1005C6B4" w14:textId="77777777" w:rsidR="00B43218" w:rsidRPr="00B43218" w:rsidRDefault="00B43218" w:rsidP="00B43218">
      <w:pPr>
        <w:widowControl/>
        <w:tabs>
          <w:tab w:val="center" w:pos="4201"/>
          <w:tab w:val="right" w:leader="dot" w:pos="9298"/>
        </w:tabs>
        <w:autoSpaceDE w:val="0"/>
        <w:autoSpaceDN w:val="0"/>
        <w:ind w:firstLineChars="200" w:firstLine="420"/>
        <w:rPr>
          <w:rFonts w:ascii="宋体" w:hAnsi="Times New Roman" w:hint="eastAsia"/>
          <w:kern w:val="0"/>
          <w:szCs w:val="20"/>
        </w:rPr>
      </w:pPr>
      <w:r w:rsidRPr="00B43218">
        <w:rPr>
          <w:rFonts w:ascii="宋体" w:hAnsi="Times New Roman" w:hint="eastAsia"/>
          <w:kern w:val="0"/>
          <w:szCs w:val="20"/>
        </w:rPr>
        <w:t>灯具在规定垂直平面上所有测量点的色坐标与该产品空间平均色品坐标在1976CIE（</w:t>
      </w:r>
      <w:r w:rsidRPr="00B43218">
        <w:rPr>
          <w:rFonts w:ascii="宋体" w:hAnsi="宋体" w:cs="Arial"/>
          <w:kern w:val="0"/>
          <w:position w:val="-6"/>
          <w:szCs w:val="21"/>
        </w:rPr>
        <w:object w:dxaOrig="239" w:dyaOrig="319" w14:anchorId="3BC08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46" o:spid="_x0000_i1025" type="#_x0000_t75" style="width:11.9pt;height:11.25pt;mso-wrap-style:square;mso-position-horizontal-relative:page;mso-position-vertical-relative:page" o:ole="">
            <v:imagedata r:id="rId10" o:title=""/>
          </v:shape>
          <o:OLEObject Type="Embed" ProgID="Equation.3" ShapeID="对象 46" DrawAspect="Content" ObjectID="_1655292212" r:id="rId11"/>
        </w:object>
      </w:r>
      <w:r w:rsidRPr="00B43218">
        <w:rPr>
          <w:rFonts w:ascii="宋体" w:hAnsi="宋体" w:cs="Arial" w:hint="eastAsia"/>
          <w:kern w:val="0"/>
          <w:szCs w:val="21"/>
        </w:rPr>
        <w:t>，</w:t>
      </w:r>
      <w:r w:rsidRPr="00B43218">
        <w:rPr>
          <w:rFonts w:ascii="宋体" w:hAnsi="宋体" w:cs="Arial"/>
          <w:kern w:val="0"/>
          <w:position w:val="-6"/>
          <w:szCs w:val="21"/>
        </w:rPr>
        <w:object w:dxaOrig="219" w:dyaOrig="319" w14:anchorId="6330B9FC">
          <v:shape id="对象 47" o:spid="_x0000_i1026" type="#_x0000_t75" style="width:10.65pt;height:11.25pt;mso-wrap-style:square;mso-position-horizontal-relative:page;mso-position-vertical-relative:page" o:ole="">
            <v:imagedata r:id="rId12" o:title=""/>
          </v:shape>
          <o:OLEObject Type="Embed" ProgID="Equation.3" ShapeID="对象 47" DrawAspect="Content" ObjectID="_1655292213" r:id="rId13"/>
        </w:object>
      </w:r>
      <w:r w:rsidRPr="00B43218">
        <w:rPr>
          <w:rFonts w:ascii="宋体" w:hAnsi="Times New Roman" w:hint="eastAsia"/>
          <w:kern w:val="0"/>
          <w:szCs w:val="20"/>
        </w:rPr>
        <w:t>，)图上的最大距离。</w:t>
      </w:r>
    </w:p>
    <w:p w14:paraId="48A4B444" w14:textId="77777777" w:rsidR="00B43218" w:rsidRPr="00B43218" w:rsidRDefault="00B43218" w:rsidP="00B43218">
      <w:pPr>
        <w:widowControl/>
        <w:tabs>
          <w:tab w:val="center" w:pos="4201"/>
          <w:tab w:val="right" w:leader="dot" w:pos="9298"/>
        </w:tabs>
        <w:autoSpaceDE w:val="0"/>
        <w:autoSpaceDN w:val="0"/>
        <w:ind w:firstLineChars="200" w:firstLine="420"/>
        <w:rPr>
          <w:rFonts w:ascii="宋体" w:hAnsi="Times New Roman" w:hint="eastAsia"/>
          <w:kern w:val="0"/>
          <w:szCs w:val="20"/>
        </w:rPr>
      </w:pPr>
    </w:p>
    <w:p w14:paraId="71A47C7A" w14:textId="77777777" w:rsidR="00B43218" w:rsidRPr="00B43218" w:rsidRDefault="00B43218" w:rsidP="00B43218">
      <w:pPr>
        <w:widowControl/>
        <w:tabs>
          <w:tab w:val="center" w:pos="567"/>
          <w:tab w:val="right" w:leader="dot" w:pos="9298"/>
        </w:tabs>
        <w:autoSpaceDE w:val="0"/>
        <w:autoSpaceDN w:val="0"/>
        <w:spacing w:beforeLines="50" w:before="156" w:afterLines="50" w:after="156"/>
        <w:rPr>
          <w:rFonts w:ascii="黑体" w:eastAsia="黑体" w:hAnsi="黑体"/>
          <w:kern w:val="0"/>
          <w:szCs w:val="20"/>
        </w:rPr>
      </w:pPr>
      <w:r w:rsidRPr="00B43218">
        <w:rPr>
          <w:rFonts w:ascii="黑体" w:eastAsia="黑体" w:hAnsi="黑体" w:hint="eastAsia"/>
          <w:kern w:val="0"/>
          <w:szCs w:val="20"/>
        </w:rPr>
        <w:t>3.9</w:t>
      </w:r>
    </w:p>
    <w:p w14:paraId="4E48441D" w14:textId="77777777" w:rsidR="00B43218" w:rsidRPr="00B43218" w:rsidRDefault="00B43218" w:rsidP="00B43218">
      <w:pPr>
        <w:widowControl/>
        <w:tabs>
          <w:tab w:val="center" w:pos="4201"/>
          <w:tab w:val="right" w:leader="dot" w:pos="9298"/>
        </w:tabs>
        <w:autoSpaceDE w:val="0"/>
        <w:autoSpaceDN w:val="0"/>
        <w:spacing w:beforeLines="50" w:before="156" w:afterLines="50" w:after="156"/>
        <w:ind w:firstLineChars="200" w:firstLine="420"/>
        <w:rPr>
          <w:rFonts w:ascii="黑体" w:eastAsia="黑体" w:hAnsi="黑体"/>
          <w:kern w:val="0"/>
          <w:szCs w:val="20"/>
        </w:rPr>
      </w:pPr>
      <w:r w:rsidRPr="00B43218">
        <w:rPr>
          <w:rFonts w:ascii="黑体" w:eastAsia="黑体" w:hAnsi="黑体" w:hint="eastAsia"/>
          <w:kern w:val="0"/>
          <w:szCs w:val="20"/>
        </w:rPr>
        <w:t>照度 illuminance</w:t>
      </w:r>
    </w:p>
    <w:p w14:paraId="4569E6AD" w14:textId="77777777" w:rsidR="00B43218" w:rsidRPr="00B43218" w:rsidRDefault="00B43218" w:rsidP="00B43218">
      <w:pPr>
        <w:widowControl/>
        <w:tabs>
          <w:tab w:val="center" w:pos="4201"/>
          <w:tab w:val="right" w:leader="dot" w:pos="9298"/>
        </w:tabs>
        <w:autoSpaceDE w:val="0"/>
        <w:autoSpaceDN w:val="0"/>
        <w:ind w:firstLineChars="200" w:firstLine="420"/>
        <w:rPr>
          <w:rFonts w:ascii="宋体" w:hAnsi="Times New Roman" w:hint="eastAsia"/>
          <w:kern w:val="0"/>
          <w:szCs w:val="20"/>
        </w:rPr>
      </w:pPr>
      <w:r w:rsidRPr="00B43218">
        <w:rPr>
          <w:rFonts w:ascii="宋体" w:hAnsi="Times New Roman" w:hint="eastAsia"/>
          <w:kern w:val="0"/>
          <w:szCs w:val="20"/>
        </w:rPr>
        <w:t>表面上一点处的光照度是入射在包含该点的面元上的光通量</w:t>
      </w:r>
      <w:proofErr w:type="spellStart"/>
      <w:r w:rsidRPr="00B43218">
        <w:rPr>
          <w:rFonts w:ascii="宋体" w:hAnsi="Times New Roman"/>
          <w:i/>
          <w:kern w:val="0"/>
          <w:szCs w:val="20"/>
        </w:rPr>
        <w:t>d</w:t>
      </w:r>
      <w:r w:rsidRPr="00B43218">
        <w:rPr>
          <w:rFonts w:ascii="宋体" w:hAnsi="Times New Roman"/>
          <w:i/>
          <w:kern w:val="0"/>
          <w:szCs w:val="20"/>
        </w:rPr>
        <w:t>Φ</w:t>
      </w:r>
      <w:proofErr w:type="spellEnd"/>
      <w:r w:rsidRPr="00B43218">
        <w:rPr>
          <w:rFonts w:ascii="宋体" w:hAnsi="Times New Roman" w:hint="eastAsia"/>
          <w:kern w:val="0"/>
          <w:szCs w:val="20"/>
        </w:rPr>
        <w:t>除以该面元面积</w:t>
      </w:r>
      <w:proofErr w:type="spellStart"/>
      <w:r w:rsidRPr="00B43218">
        <w:rPr>
          <w:rFonts w:ascii="宋体" w:hAnsi="Times New Roman"/>
          <w:i/>
          <w:kern w:val="0"/>
          <w:szCs w:val="20"/>
        </w:rPr>
        <w:t>dA</w:t>
      </w:r>
      <w:proofErr w:type="spellEnd"/>
      <w:r w:rsidRPr="00B43218">
        <w:rPr>
          <w:rFonts w:ascii="宋体" w:hAnsi="Times New Roman" w:hint="eastAsia"/>
          <w:kern w:val="0"/>
          <w:szCs w:val="20"/>
        </w:rPr>
        <w:t>之商.</w:t>
      </w:r>
    </w:p>
    <w:p w14:paraId="0AC34208" w14:textId="77777777" w:rsidR="00B43218" w:rsidRPr="00B43218" w:rsidRDefault="00B43218" w:rsidP="00B43218">
      <w:pPr>
        <w:widowControl/>
        <w:tabs>
          <w:tab w:val="center" w:pos="4201"/>
          <w:tab w:val="right" w:leader="dot" w:pos="9298"/>
        </w:tabs>
        <w:autoSpaceDE w:val="0"/>
        <w:autoSpaceDN w:val="0"/>
        <w:rPr>
          <w:rFonts w:ascii="宋体" w:hAnsi="Times New Roman" w:hint="eastAsia"/>
          <w:kern w:val="0"/>
          <w:szCs w:val="20"/>
        </w:rPr>
      </w:pPr>
    </w:p>
    <w:p w14:paraId="7FC8F5CF" w14:textId="77777777" w:rsidR="00B43218" w:rsidRPr="00B43218" w:rsidRDefault="00B43218" w:rsidP="00B43218">
      <w:pPr>
        <w:widowControl/>
        <w:tabs>
          <w:tab w:val="center" w:pos="567"/>
          <w:tab w:val="right" w:leader="dot" w:pos="9298"/>
        </w:tabs>
        <w:autoSpaceDE w:val="0"/>
        <w:autoSpaceDN w:val="0"/>
        <w:spacing w:beforeLines="50" w:before="156" w:afterLines="50" w:after="156"/>
        <w:rPr>
          <w:rFonts w:ascii="黑体" w:eastAsia="黑体" w:hAnsi="黑体"/>
          <w:kern w:val="0"/>
          <w:szCs w:val="20"/>
        </w:rPr>
      </w:pPr>
      <w:r w:rsidRPr="00B43218">
        <w:rPr>
          <w:rFonts w:ascii="黑体" w:eastAsia="黑体" w:hAnsi="黑体" w:hint="eastAsia"/>
          <w:kern w:val="0"/>
          <w:szCs w:val="20"/>
        </w:rPr>
        <w:t>3.10</w:t>
      </w:r>
    </w:p>
    <w:p w14:paraId="5B8AFC49" w14:textId="77777777" w:rsidR="00B43218" w:rsidRPr="00B43218" w:rsidRDefault="00B43218" w:rsidP="00B43218">
      <w:pPr>
        <w:widowControl/>
        <w:tabs>
          <w:tab w:val="center" w:pos="4201"/>
          <w:tab w:val="right" w:leader="dot" w:pos="9298"/>
        </w:tabs>
        <w:autoSpaceDE w:val="0"/>
        <w:autoSpaceDN w:val="0"/>
        <w:spacing w:beforeLines="50" w:before="156" w:afterLines="50" w:after="156"/>
        <w:ind w:firstLineChars="200" w:firstLine="420"/>
        <w:rPr>
          <w:rFonts w:ascii="黑体" w:eastAsia="黑体" w:hAnsi="黑体"/>
          <w:kern w:val="0"/>
          <w:szCs w:val="20"/>
        </w:rPr>
      </w:pPr>
      <w:r w:rsidRPr="00B43218">
        <w:rPr>
          <w:rFonts w:ascii="黑体" w:eastAsia="黑体" w:hAnsi="黑体" w:hint="eastAsia"/>
          <w:kern w:val="0"/>
          <w:szCs w:val="20"/>
        </w:rPr>
        <w:t>维持平均照度  maintained average illuminance</w:t>
      </w:r>
    </w:p>
    <w:p w14:paraId="7DFD608C" w14:textId="77777777" w:rsidR="00B43218" w:rsidRPr="00B43218" w:rsidRDefault="00B43218" w:rsidP="00B43218">
      <w:pPr>
        <w:widowControl/>
        <w:tabs>
          <w:tab w:val="center" w:pos="4201"/>
          <w:tab w:val="right" w:leader="dot" w:pos="9298"/>
        </w:tabs>
        <w:autoSpaceDE w:val="0"/>
        <w:autoSpaceDN w:val="0"/>
        <w:ind w:firstLineChars="200" w:firstLine="420"/>
        <w:rPr>
          <w:rFonts w:ascii="宋体" w:hAnsi="Times New Roman" w:hint="eastAsia"/>
          <w:kern w:val="0"/>
          <w:szCs w:val="20"/>
        </w:rPr>
      </w:pPr>
      <w:r w:rsidRPr="00B43218">
        <w:rPr>
          <w:rFonts w:ascii="宋体" w:hAnsi="Times New Roman" w:hint="eastAsia"/>
          <w:kern w:val="0"/>
          <w:szCs w:val="20"/>
        </w:rPr>
        <w:t>照明装置必须进行维护时，在规定表面上的平均照度值。</w:t>
      </w:r>
    </w:p>
    <w:p w14:paraId="7C6DC781" w14:textId="77777777" w:rsidR="00B43218" w:rsidRPr="00B43218" w:rsidRDefault="00B43218" w:rsidP="00B43218">
      <w:pPr>
        <w:widowControl/>
        <w:tabs>
          <w:tab w:val="center" w:pos="4201"/>
          <w:tab w:val="right" w:leader="dot" w:pos="9298"/>
        </w:tabs>
        <w:autoSpaceDE w:val="0"/>
        <w:autoSpaceDN w:val="0"/>
        <w:ind w:firstLineChars="200" w:firstLine="420"/>
        <w:rPr>
          <w:rFonts w:ascii="宋体" w:hAnsi="Times New Roman" w:hint="eastAsia"/>
          <w:kern w:val="0"/>
          <w:szCs w:val="20"/>
        </w:rPr>
      </w:pPr>
    </w:p>
    <w:p w14:paraId="1A8B8864" w14:textId="77777777" w:rsidR="00B43218" w:rsidRPr="00B43218" w:rsidRDefault="00B43218" w:rsidP="00B43218">
      <w:pPr>
        <w:widowControl/>
        <w:tabs>
          <w:tab w:val="center" w:pos="567"/>
          <w:tab w:val="right" w:leader="dot" w:pos="9298"/>
        </w:tabs>
        <w:autoSpaceDE w:val="0"/>
        <w:autoSpaceDN w:val="0"/>
        <w:spacing w:beforeLines="50" w:before="156" w:afterLines="50" w:after="156"/>
        <w:rPr>
          <w:rFonts w:ascii="黑体" w:eastAsia="黑体" w:hAnsi="黑体"/>
          <w:kern w:val="0"/>
          <w:szCs w:val="20"/>
        </w:rPr>
      </w:pPr>
      <w:r w:rsidRPr="00B43218">
        <w:rPr>
          <w:rFonts w:ascii="黑体" w:eastAsia="黑体" w:hAnsi="黑体" w:hint="eastAsia"/>
          <w:kern w:val="0"/>
          <w:szCs w:val="20"/>
        </w:rPr>
        <w:t>3.11</w:t>
      </w:r>
    </w:p>
    <w:p w14:paraId="75FC26C9" w14:textId="77777777" w:rsidR="00B43218" w:rsidRPr="00B43218" w:rsidRDefault="00B43218" w:rsidP="00B43218">
      <w:pPr>
        <w:widowControl/>
        <w:tabs>
          <w:tab w:val="center" w:pos="4201"/>
          <w:tab w:val="right" w:leader="dot" w:pos="9298"/>
        </w:tabs>
        <w:autoSpaceDE w:val="0"/>
        <w:autoSpaceDN w:val="0"/>
        <w:spacing w:beforeLines="50" w:before="156" w:afterLines="50" w:after="156"/>
        <w:ind w:firstLineChars="200" w:firstLine="420"/>
        <w:rPr>
          <w:rFonts w:ascii="黑体" w:eastAsia="黑体" w:hAnsi="黑体" w:hint="eastAsia"/>
          <w:kern w:val="0"/>
          <w:szCs w:val="20"/>
        </w:rPr>
      </w:pPr>
      <w:r w:rsidRPr="00B43218">
        <w:rPr>
          <w:rFonts w:ascii="黑体" w:eastAsia="黑体" w:hAnsi="黑体" w:hint="eastAsia"/>
          <w:kern w:val="0"/>
          <w:szCs w:val="20"/>
        </w:rPr>
        <w:t>照度均匀度   illuminance uniformity</w:t>
      </w:r>
    </w:p>
    <w:p w14:paraId="6568F1A4" w14:textId="77777777" w:rsidR="00B43218" w:rsidRPr="00B43218" w:rsidRDefault="00B43218" w:rsidP="00B43218">
      <w:pPr>
        <w:widowControl/>
        <w:tabs>
          <w:tab w:val="center" w:pos="4201"/>
          <w:tab w:val="right" w:leader="dot" w:pos="9298"/>
        </w:tabs>
        <w:autoSpaceDE w:val="0"/>
        <w:autoSpaceDN w:val="0"/>
        <w:ind w:firstLineChars="200" w:firstLine="420"/>
        <w:rPr>
          <w:rFonts w:ascii="宋体" w:hAnsi="Times New Roman" w:hint="eastAsia"/>
          <w:kern w:val="0"/>
          <w:szCs w:val="20"/>
        </w:rPr>
      </w:pPr>
      <w:r w:rsidRPr="00B43218">
        <w:rPr>
          <w:rFonts w:ascii="宋体" w:hAnsi="Times New Roman" w:hint="eastAsia"/>
          <w:kern w:val="0"/>
          <w:szCs w:val="20"/>
        </w:rPr>
        <w:t>规定表面上的最小照度与平均照度之比，符号是</w:t>
      </w:r>
      <w:r w:rsidRPr="00B43218">
        <w:rPr>
          <w:rFonts w:ascii="宋体" w:hAnsi="Times New Roman" w:hint="eastAsia"/>
          <w:b/>
          <w:bCs/>
          <w:i/>
          <w:iCs/>
          <w:kern w:val="0"/>
          <w:szCs w:val="20"/>
        </w:rPr>
        <w:t>U</w:t>
      </w:r>
      <w:r w:rsidRPr="00B43218">
        <w:rPr>
          <w:rFonts w:ascii="宋体" w:hAnsi="Times New Roman" w:hint="eastAsia"/>
          <w:iCs/>
          <w:kern w:val="0"/>
          <w:sz w:val="28"/>
          <w:szCs w:val="28"/>
          <w:vertAlign w:val="subscript"/>
        </w:rPr>
        <w:t>0</w:t>
      </w:r>
      <w:r w:rsidRPr="00B43218">
        <w:rPr>
          <w:rFonts w:ascii="宋体" w:hAnsi="Times New Roman" w:hint="eastAsia"/>
          <w:kern w:val="0"/>
          <w:szCs w:val="20"/>
        </w:rPr>
        <w:t>。</w:t>
      </w:r>
    </w:p>
    <w:p w14:paraId="060B0DE7" w14:textId="77777777" w:rsidR="00B43218" w:rsidRPr="00B43218" w:rsidRDefault="00B43218" w:rsidP="00B43218">
      <w:pPr>
        <w:widowControl/>
        <w:tabs>
          <w:tab w:val="center" w:pos="4201"/>
          <w:tab w:val="right" w:leader="dot" w:pos="9298"/>
        </w:tabs>
        <w:autoSpaceDE w:val="0"/>
        <w:autoSpaceDN w:val="0"/>
        <w:ind w:firstLineChars="200" w:firstLine="420"/>
        <w:rPr>
          <w:rFonts w:ascii="宋体" w:hAnsi="Times New Roman"/>
          <w:kern w:val="0"/>
          <w:szCs w:val="20"/>
        </w:rPr>
      </w:pPr>
    </w:p>
    <w:p w14:paraId="71210AEA" w14:textId="77777777" w:rsidR="00B43218" w:rsidRPr="00B43218" w:rsidRDefault="00B43218" w:rsidP="00B43218">
      <w:pPr>
        <w:widowControl/>
        <w:tabs>
          <w:tab w:val="center" w:pos="567"/>
          <w:tab w:val="right" w:leader="dot" w:pos="9298"/>
        </w:tabs>
        <w:autoSpaceDE w:val="0"/>
        <w:autoSpaceDN w:val="0"/>
        <w:spacing w:beforeLines="50" w:before="156" w:afterLines="50" w:after="156"/>
        <w:rPr>
          <w:rFonts w:ascii="黑体" w:eastAsia="黑体" w:hAnsi="黑体"/>
          <w:kern w:val="0"/>
          <w:szCs w:val="20"/>
        </w:rPr>
      </w:pPr>
      <w:r w:rsidRPr="00B43218">
        <w:rPr>
          <w:rFonts w:ascii="黑体" w:eastAsia="黑体" w:hAnsi="黑体" w:hint="eastAsia"/>
          <w:kern w:val="0"/>
          <w:szCs w:val="20"/>
        </w:rPr>
        <w:t>3.12</w:t>
      </w:r>
    </w:p>
    <w:p w14:paraId="1BACB576" w14:textId="77777777" w:rsidR="00B43218" w:rsidRPr="00B43218" w:rsidRDefault="00B43218" w:rsidP="00B43218">
      <w:pPr>
        <w:widowControl/>
        <w:tabs>
          <w:tab w:val="center" w:pos="4201"/>
          <w:tab w:val="right" w:leader="dot" w:pos="9298"/>
        </w:tabs>
        <w:autoSpaceDE w:val="0"/>
        <w:autoSpaceDN w:val="0"/>
        <w:spacing w:beforeLines="50" w:before="156" w:afterLines="50" w:after="156"/>
        <w:ind w:firstLineChars="200" w:firstLine="420"/>
        <w:rPr>
          <w:rFonts w:ascii="黑体" w:eastAsia="黑体" w:hAnsi="黑体" w:hint="eastAsia"/>
          <w:kern w:val="0"/>
          <w:szCs w:val="20"/>
        </w:rPr>
      </w:pPr>
      <w:r w:rsidRPr="00B43218">
        <w:rPr>
          <w:rFonts w:ascii="黑体" w:eastAsia="黑体" w:hAnsi="黑体" w:hint="eastAsia"/>
          <w:kern w:val="0"/>
          <w:szCs w:val="20"/>
        </w:rPr>
        <w:lastRenderedPageBreak/>
        <w:t>照明功率密度（LPD）  lighting power density</w:t>
      </w:r>
    </w:p>
    <w:p w14:paraId="4BBA2C7C" w14:textId="77777777" w:rsidR="00B43218" w:rsidRPr="00B43218" w:rsidRDefault="00B43218" w:rsidP="00B43218">
      <w:pPr>
        <w:widowControl/>
        <w:tabs>
          <w:tab w:val="center" w:pos="4201"/>
          <w:tab w:val="right" w:leader="dot" w:pos="9298"/>
        </w:tabs>
        <w:autoSpaceDE w:val="0"/>
        <w:autoSpaceDN w:val="0"/>
        <w:ind w:firstLineChars="200" w:firstLine="420"/>
        <w:rPr>
          <w:rFonts w:ascii="宋体" w:hAnsi="Times New Roman" w:hint="eastAsia"/>
          <w:kern w:val="0"/>
          <w:szCs w:val="20"/>
        </w:rPr>
      </w:pPr>
      <w:r w:rsidRPr="00B43218">
        <w:rPr>
          <w:rFonts w:ascii="宋体" w:hAnsi="Times New Roman" w:hint="eastAsia"/>
          <w:kern w:val="0"/>
          <w:szCs w:val="20"/>
        </w:rPr>
        <w:t>单位面积上的照明的安装功率（包括光源、镇流器或变压器等），单位为瓦特每平方米（W/m</w:t>
      </w:r>
      <w:r w:rsidRPr="00B43218">
        <w:rPr>
          <w:rFonts w:ascii="宋体" w:hAnsi="Times New Roman" w:hint="eastAsia"/>
          <w:kern w:val="0"/>
          <w:szCs w:val="20"/>
          <w:vertAlign w:val="superscript"/>
        </w:rPr>
        <w:t>2</w:t>
      </w:r>
      <w:r w:rsidRPr="00B43218">
        <w:rPr>
          <w:rFonts w:ascii="宋体" w:hAnsi="Times New Roman" w:hint="eastAsia"/>
          <w:kern w:val="0"/>
          <w:szCs w:val="20"/>
        </w:rPr>
        <w:t>)。</w:t>
      </w:r>
    </w:p>
    <w:p w14:paraId="404968DD" w14:textId="77777777" w:rsidR="00B43218" w:rsidRPr="00B43218" w:rsidRDefault="00B43218" w:rsidP="00B43218">
      <w:pPr>
        <w:widowControl/>
        <w:tabs>
          <w:tab w:val="center" w:pos="4201"/>
          <w:tab w:val="right" w:leader="dot" w:pos="9298"/>
        </w:tabs>
        <w:autoSpaceDE w:val="0"/>
        <w:autoSpaceDN w:val="0"/>
        <w:ind w:firstLineChars="200" w:firstLine="420"/>
        <w:rPr>
          <w:rFonts w:ascii="宋体" w:hAnsi="Times New Roman" w:hint="eastAsia"/>
          <w:kern w:val="0"/>
          <w:szCs w:val="20"/>
        </w:rPr>
      </w:pPr>
    </w:p>
    <w:p w14:paraId="5B48BBA1" w14:textId="77777777" w:rsidR="00B43218" w:rsidRPr="00B43218" w:rsidRDefault="00B43218" w:rsidP="00B43218">
      <w:pPr>
        <w:widowControl/>
        <w:tabs>
          <w:tab w:val="center" w:pos="567"/>
          <w:tab w:val="right" w:leader="dot" w:pos="9298"/>
        </w:tabs>
        <w:autoSpaceDE w:val="0"/>
        <w:autoSpaceDN w:val="0"/>
        <w:spacing w:beforeLines="50" w:before="156" w:afterLines="50" w:after="156"/>
        <w:rPr>
          <w:rFonts w:ascii="黑体" w:eastAsia="黑体" w:hAnsi="黑体"/>
          <w:kern w:val="0"/>
          <w:szCs w:val="20"/>
        </w:rPr>
      </w:pPr>
      <w:r w:rsidRPr="00B43218">
        <w:rPr>
          <w:rFonts w:ascii="黑体" w:eastAsia="黑体" w:hAnsi="黑体" w:hint="eastAsia"/>
          <w:kern w:val="0"/>
          <w:szCs w:val="20"/>
        </w:rPr>
        <w:t>3.13</w:t>
      </w:r>
    </w:p>
    <w:p w14:paraId="1052E50F" w14:textId="77777777" w:rsidR="00B43218" w:rsidRPr="00B43218" w:rsidRDefault="00B43218" w:rsidP="00B43218">
      <w:pPr>
        <w:widowControl/>
        <w:tabs>
          <w:tab w:val="center" w:pos="4201"/>
          <w:tab w:val="right" w:leader="dot" w:pos="9298"/>
        </w:tabs>
        <w:autoSpaceDE w:val="0"/>
        <w:autoSpaceDN w:val="0"/>
        <w:spacing w:beforeLines="50" w:before="156" w:afterLines="50" w:after="156"/>
        <w:ind w:firstLineChars="200" w:firstLine="420"/>
        <w:rPr>
          <w:rFonts w:ascii="黑体" w:eastAsia="黑体" w:hAnsi="黑体" w:hint="eastAsia"/>
          <w:kern w:val="0"/>
          <w:szCs w:val="20"/>
        </w:rPr>
      </w:pPr>
      <w:r w:rsidRPr="00B43218">
        <w:rPr>
          <w:rFonts w:ascii="黑体" w:eastAsia="黑体" w:hAnsi="黑体" w:hint="eastAsia"/>
          <w:kern w:val="0"/>
          <w:szCs w:val="20"/>
        </w:rPr>
        <w:t>维护系数  maintenance factor</w:t>
      </w:r>
    </w:p>
    <w:p w14:paraId="572A348F" w14:textId="77777777" w:rsidR="00B43218" w:rsidRPr="00B43218" w:rsidRDefault="00B43218" w:rsidP="00B43218">
      <w:pPr>
        <w:widowControl/>
        <w:tabs>
          <w:tab w:val="center" w:pos="4201"/>
          <w:tab w:val="right" w:leader="dot" w:pos="9298"/>
        </w:tabs>
        <w:autoSpaceDE w:val="0"/>
        <w:autoSpaceDN w:val="0"/>
        <w:ind w:firstLineChars="200" w:firstLine="420"/>
        <w:rPr>
          <w:rFonts w:ascii="宋体" w:hAnsi="Times New Roman" w:hint="eastAsia"/>
          <w:kern w:val="0"/>
          <w:szCs w:val="20"/>
        </w:rPr>
      </w:pPr>
      <w:r w:rsidRPr="00B43218">
        <w:rPr>
          <w:rFonts w:ascii="宋体" w:hAnsi="Times New Roman" w:hint="eastAsia"/>
          <w:kern w:val="0"/>
          <w:szCs w:val="20"/>
        </w:rPr>
        <w:t>照明装置在使用一定周期后，在规定表面上的平均照度或平均亮度与该装置在相同条件下新装时在规定表面上所得到的平均照度或平均亮度之比。</w:t>
      </w:r>
    </w:p>
    <w:p w14:paraId="092F3010" w14:textId="77777777" w:rsidR="00B43218" w:rsidRPr="00B43218" w:rsidRDefault="00B43218" w:rsidP="00B43218">
      <w:pPr>
        <w:widowControl/>
        <w:tabs>
          <w:tab w:val="center" w:pos="4201"/>
          <w:tab w:val="right" w:leader="dot" w:pos="9298"/>
        </w:tabs>
        <w:autoSpaceDE w:val="0"/>
        <w:autoSpaceDN w:val="0"/>
        <w:ind w:firstLineChars="200" w:firstLine="420"/>
        <w:rPr>
          <w:rFonts w:ascii="宋体" w:hAnsi="Times New Roman" w:hint="eastAsia"/>
          <w:kern w:val="0"/>
          <w:szCs w:val="20"/>
        </w:rPr>
      </w:pPr>
      <w:r w:rsidRPr="00B43218">
        <w:rPr>
          <w:rFonts w:ascii="宋体" w:hAnsi="Times New Roman" w:hint="eastAsia"/>
          <w:kern w:val="0"/>
          <w:szCs w:val="20"/>
        </w:rPr>
        <w:t>[JGJ/T 119-2008，定义3.4.15]</w:t>
      </w:r>
    </w:p>
    <w:p w14:paraId="72538EAE" w14:textId="77777777" w:rsidR="00B43218" w:rsidRPr="00B43218" w:rsidRDefault="00B43218" w:rsidP="00B43218">
      <w:pPr>
        <w:widowControl/>
        <w:tabs>
          <w:tab w:val="center" w:pos="4201"/>
          <w:tab w:val="right" w:leader="dot" w:pos="9298"/>
        </w:tabs>
        <w:autoSpaceDE w:val="0"/>
        <w:autoSpaceDN w:val="0"/>
        <w:ind w:firstLineChars="200" w:firstLine="420"/>
        <w:rPr>
          <w:rFonts w:ascii="宋体" w:hAnsi="Times New Roman" w:hint="eastAsia"/>
          <w:kern w:val="0"/>
          <w:szCs w:val="20"/>
        </w:rPr>
      </w:pPr>
    </w:p>
    <w:p w14:paraId="0A95A43F" w14:textId="77777777" w:rsidR="00B43218" w:rsidRPr="00B43218" w:rsidRDefault="00B43218" w:rsidP="00B43218">
      <w:pPr>
        <w:widowControl/>
        <w:tabs>
          <w:tab w:val="center" w:pos="567"/>
          <w:tab w:val="right" w:leader="dot" w:pos="9298"/>
        </w:tabs>
        <w:autoSpaceDE w:val="0"/>
        <w:autoSpaceDN w:val="0"/>
        <w:spacing w:beforeLines="50" w:before="156" w:afterLines="50" w:after="156"/>
        <w:rPr>
          <w:rFonts w:ascii="黑体" w:eastAsia="黑体" w:hAnsi="黑体"/>
          <w:kern w:val="0"/>
          <w:szCs w:val="20"/>
        </w:rPr>
      </w:pPr>
      <w:r w:rsidRPr="00B43218">
        <w:rPr>
          <w:rFonts w:ascii="黑体" w:eastAsia="黑体" w:hAnsi="黑体" w:hint="eastAsia"/>
          <w:kern w:val="0"/>
          <w:szCs w:val="20"/>
        </w:rPr>
        <w:t>3.14</w:t>
      </w:r>
    </w:p>
    <w:p w14:paraId="29CAC241" w14:textId="77777777" w:rsidR="00B43218" w:rsidRPr="00B43218" w:rsidRDefault="00B43218" w:rsidP="00B43218">
      <w:pPr>
        <w:widowControl/>
        <w:tabs>
          <w:tab w:val="center" w:pos="4201"/>
          <w:tab w:val="right" w:leader="dot" w:pos="9298"/>
        </w:tabs>
        <w:autoSpaceDE w:val="0"/>
        <w:autoSpaceDN w:val="0"/>
        <w:spacing w:beforeLines="50" w:before="156" w:afterLines="50" w:after="156"/>
        <w:ind w:firstLineChars="200" w:firstLine="420"/>
        <w:rPr>
          <w:rFonts w:ascii="黑体" w:eastAsia="黑体" w:hAnsi="黑体"/>
          <w:kern w:val="0"/>
          <w:szCs w:val="20"/>
        </w:rPr>
      </w:pPr>
      <w:r w:rsidRPr="00B43218">
        <w:rPr>
          <w:rFonts w:ascii="黑体" w:eastAsia="黑体" w:hAnsi="黑体" w:hint="eastAsia"/>
          <w:kern w:val="0"/>
          <w:szCs w:val="20"/>
        </w:rPr>
        <w:t>统一眩光值（UGR）  unified glare rating</w:t>
      </w:r>
    </w:p>
    <w:p w14:paraId="628B0862" w14:textId="77777777" w:rsidR="00B43218" w:rsidRPr="00B43218" w:rsidRDefault="00B43218" w:rsidP="00B43218">
      <w:pPr>
        <w:widowControl/>
        <w:tabs>
          <w:tab w:val="center" w:pos="4201"/>
          <w:tab w:val="right" w:leader="dot" w:pos="9298"/>
        </w:tabs>
        <w:autoSpaceDE w:val="0"/>
        <w:autoSpaceDN w:val="0"/>
        <w:ind w:firstLineChars="200" w:firstLine="420"/>
        <w:rPr>
          <w:rFonts w:ascii="宋体" w:hAnsi="Times New Roman" w:hint="eastAsia"/>
          <w:kern w:val="0"/>
          <w:szCs w:val="20"/>
        </w:rPr>
      </w:pPr>
      <w:r w:rsidRPr="00B43218">
        <w:rPr>
          <w:rFonts w:ascii="宋体" w:hAnsi="Times New Roman" w:hint="eastAsia"/>
          <w:kern w:val="0"/>
          <w:szCs w:val="20"/>
        </w:rPr>
        <w:t>度量室内视觉环境中的照明装置发出的光对人眼引起不舒适感主观反映的心理参量，其值可按CIE统一眩光值公式计算。</w:t>
      </w:r>
    </w:p>
    <w:p w14:paraId="0ACD9077" w14:textId="77777777" w:rsidR="00B43218" w:rsidRPr="00B43218" w:rsidRDefault="00B43218" w:rsidP="00B43218">
      <w:pPr>
        <w:widowControl/>
        <w:tabs>
          <w:tab w:val="center" w:pos="4201"/>
          <w:tab w:val="right" w:leader="dot" w:pos="9298"/>
        </w:tabs>
        <w:autoSpaceDE w:val="0"/>
        <w:autoSpaceDN w:val="0"/>
        <w:ind w:firstLineChars="200" w:firstLine="420"/>
        <w:rPr>
          <w:rFonts w:ascii="宋体" w:hAnsi="Times New Roman" w:hint="eastAsia"/>
          <w:kern w:val="0"/>
          <w:szCs w:val="20"/>
        </w:rPr>
      </w:pPr>
      <w:r w:rsidRPr="00B43218">
        <w:rPr>
          <w:rFonts w:ascii="宋体" w:hAnsi="Times New Roman" w:hint="eastAsia"/>
          <w:kern w:val="0"/>
          <w:szCs w:val="20"/>
        </w:rPr>
        <w:t xml:space="preserve">                      </w:t>
      </w:r>
    </w:p>
    <w:p w14:paraId="0B2BD82F" w14:textId="77777777" w:rsidR="00B43218" w:rsidRPr="00B43218" w:rsidRDefault="00B43218" w:rsidP="00B43218">
      <w:pPr>
        <w:widowControl/>
        <w:tabs>
          <w:tab w:val="center" w:pos="567"/>
          <w:tab w:val="right" w:leader="dot" w:pos="9298"/>
        </w:tabs>
        <w:autoSpaceDE w:val="0"/>
        <w:autoSpaceDN w:val="0"/>
        <w:spacing w:beforeLines="50" w:before="156" w:afterLines="50" w:after="156"/>
        <w:rPr>
          <w:rFonts w:ascii="黑体" w:eastAsia="黑体" w:hAnsi="黑体" w:hint="eastAsia"/>
          <w:kern w:val="0"/>
          <w:szCs w:val="20"/>
        </w:rPr>
      </w:pPr>
      <w:r w:rsidRPr="00B43218">
        <w:rPr>
          <w:rFonts w:ascii="黑体" w:eastAsia="黑体" w:hAnsi="黑体" w:hint="eastAsia"/>
          <w:kern w:val="0"/>
          <w:szCs w:val="20"/>
        </w:rPr>
        <w:t>3.15</w:t>
      </w:r>
    </w:p>
    <w:p w14:paraId="2C114A55" w14:textId="77777777" w:rsidR="00B43218" w:rsidRPr="00B43218" w:rsidRDefault="00B43218" w:rsidP="00B43218">
      <w:pPr>
        <w:widowControl/>
        <w:tabs>
          <w:tab w:val="center" w:pos="567"/>
          <w:tab w:val="right" w:leader="dot" w:pos="9298"/>
        </w:tabs>
        <w:autoSpaceDE w:val="0"/>
        <w:autoSpaceDN w:val="0"/>
        <w:spacing w:beforeLines="50" w:before="156" w:afterLines="50" w:after="156"/>
        <w:ind w:firstLineChars="200" w:firstLine="420"/>
        <w:rPr>
          <w:rFonts w:ascii="黑体" w:eastAsia="黑体" w:hAnsi="黑体" w:hint="eastAsia"/>
          <w:kern w:val="0"/>
          <w:szCs w:val="20"/>
        </w:rPr>
      </w:pPr>
      <w:r w:rsidRPr="00B43218">
        <w:rPr>
          <w:rFonts w:ascii="黑体" w:eastAsia="黑体" w:hAnsi="黑体" w:hint="eastAsia"/>
          <w:kern w:val="0"/>
          <w:szCs w:val="20"/>
        </w:rPr>
        <w:t>波动深度 Fluctuation depth</w:t>
      </w:r>
    </w:p>
    <w:p w14:paraId="2E5D6EC1" w14:textId="77777777" w:rsidR="00B43218" w:rsidRPr="00B43218" w:rsidRDefault="00B43218" w:rsidP="00B43218">
      <w:pPr>
        <w:widowControl/>
        <w:tabs>
          <w:tab w:val="center" w:pos="4201"/>
          <w:tab w:val="right" w:leader="dot" w:pos="9298"/>
        </w:tabs>
        <w:autoSpaceDE w:val="0"/>
        <w:autoSpaceDN w:val="0"/>
        <w:ind w:firstLineChars="200" w:firstLine="420"/>
        <w:rPr>
          <w:rFonts w:ascii="宋体" w:hAnsi="Times New Roman" w:hint="eastAsia"/>
          <w:kern w:val="0"/>
          <w:szCs w:val="20"/>
        </w:rPr>
      </w:pPr>
      <w:r w:rsidRPr="00B43218">
        <w:rPr>
          <w:rFonts w:ascii="宋体" w:hAnsi="Times New Roman" w:hint="eastAsia"/>
          <w:kern w:val="0"/>
          <w:szCs w:val="20"/>
        </w:rPr>
        <w:t>波动深度为光输出一个周期的最大值和最小值的差与光输出最大值和最小值的和的比，以百分比表示。</w:t>
      </w:r>
    </w:p>
    <w:p w14:paraId="516EADB7" w14:textId="77777777" w:rsidR="00B43218" w:rsidRPr="00B43218" w:rsidRDefault="00B43218" w:rsidP="00B43218">
      <w:pPr>
        <w:widowControl/>
        <w:tabs>
          <w:tab w:val="center" w:pos="567"/>
        </w:tabs>
        <w:autoSpaceDE w:val="0"/>
        <w:autoSpaceDN w:val="0"/>
        <w:spacing w:beforeLines="50" w:before="156" w:afterLines="50" w:after="156"/>
        <w:rPr>
          <w:rFonts w:ascii="黑体" w:eastAsia="黑体" w:hAnsi="黑体" w:hint="eastAsia"/>
          <w:kern w:val="0"/>
          <w:szCs w:val="20"/>
        </w:rPr>
      </w:pPr>
      <w:r w:rsidRPr="00B43218">
        <w:rPr>
          <w:rFonts w:ascii="黑体" w:eastAsia="黑体" w:hAnsi="黑体" w:hint="eastAsia"/>
          <w:kern w:val="0"/>
          <w:szCs w:val="20"/>
        </w:rPr>
        <w:t>3.16</w:t>
      </w:r>
    </w:p>
    <w:p w14:paraId="1E0B29E3" w14:textId="77777777" w:rsidR="00B43218" w:rsidRPr="00B43218" w:rsidRDefault="00B43218" w:rsidP="00B43218">
      <w:pPr>
        <w:widowControl/>
        <w:tabs>
          <w:tab w:val="center" w:pos="567"/>
        </w:tabs>
        <w:autoSpaceDE w:val="0"/>
        <w:autoSpaceDN w:val="0"/>
        <w:spacing w:beforeLines="50" w:before="156" w:afterLines="50" w:after="156"/>
        <w:ind w:firstLineChars="200" w:firstLine="420"/>
        <w:rPr>
          <w:rFonts w:ascii="黑体" w:eastAsia="黑体" w:hAnsi="黑体"/>
          <w:kern w:val="0"/>
          <w:szCs w:val="20"/>
        </w:rPr>
      </w:pPr>
      <w:r w:rsidRPr="00B43218">
        <w:rPr>
          <w:rFonts w:ascii="黑体" w:eastAsia="黑体" w:hAnsi="黑体" w:hint="eastAsia"/>
          <w:kern w:val="0"/>
          <w:szCs w:val="20"/>
        </w:rPr>
        <w:t>闪烁 flicker</w:t>
      </w:r>
    </w:p>
    <w:p w14:paraId="2D52AC3A" w14:textId="77777777" w:rsidR="00B43218" w:rsidRPr="00B43218" w:rsidRDefault="00B43218" w:rsidP="00B43218">
      <w:pPr>
        <w:widowControl/>
        <w:tabs>
          <w:tab w:val="center" w:pos="4201"/>
          <w:tab w:val="right" w:leader="dot" w:pos="9298"/>
        </w:tabs>
        <w:autoSpaceDE w:val="0"/>
        <w:autoSpaceDN w:val="0"/>
        <w:ind w:firstLineChars="200" w:firstLine="420"/>
        <w:rPr>
          <w:rFonts w:ascii="宋体" w:hAnsi="Times New Roman" w:hint="eastAsia"/>
          <w:kern w:val="0"/>
          <w:szCs w:val="20"/>
        </w:rPr>
      </w:pPr>
      <w:r w:rsidRPr="00B43218">
        <w:rPr>
          <w:rFonts w:ascii="宋体" w:hAnsi="Times New Roman" w:hint="eastAsia"/>
          <w:kern w:val="0"/>
          <w:szCs w:val="20"/>
        </w:rPr>
        <w:t>对于静止环境中静止的观察者，由光亮度或光谱分布随时间波动的光刺激引起的不稳定的目视感觉。</w:t>
      </w:r>
    </w:p>
    <w:p w14:paraId="57A600D7" w14:textId="77777777" w:rsidR="00B43218" w:rsidRPr="00B43218" w:rsidRDefault="00B43218" w:rsidP="00B43218">
      <w:pPr>
        <w:widowControl/>
        <w:tabs>
          <w:tab w:val="center" w:pos="567"/>
          <w:tab w:val="right" w:leader="dot" w:pos="9298"/>
        </w:tabs>
        <w:autoSpaceDE w:val="0"/>
        <w:autoSpaceDN w:val="0"/>
        <w:spacing w:beforeLines="50" w:before="156" w:afterLines="50" w:after="156"/>
        <w:rPr>
          <w:rFonts w:ascii="黑体" w:eastAsia="黑体" w:hAnsi="黑体"/>
          <w:kern w:val="0"/>
          <w:szCs w:val="20"/>
        </w:rPr>
      </w:pPr>
      <w:bookmarkStart w:id="0" w:name="_Toc26390996"/>
      <w:r w:rsidRPr="00B43218">
        <w:rPr>
          <w:rFonts w:ascii="黑体" w:eastAsia="黑体" w:hAnsi="黑体" w:hint="eastAsia"/>
          <w:kern w:val="0"/>
          <w:szCs w:val="20"/>
        </w:rPr>
        <w:t>3.1</w:t>
      </w:r>
      <w:bookmarkEnd w:id="0"/>
      <w:r w:rsidRPr="00B43218">
        <w:rPr>
          <w:rFonts w:ascii="黑体" w:eastAsia="黑体" w:hAnsi="黑体" w:hint="eastAsia"/>
          <w:kern w:val="0"/>
          <w:szCs w:val="20"/>
        </w:rPr>
        <w:t>8</w:t>
      </w:r>
    </w:p>
    <w:p w14:paraId="167B14CB" w14:textId="77777777" w:rsidR="00B43218" w:rsidRPr="00B43218" w:rsidRDefault="00B43218" w:rsidP="00B43218">
      <w:pPr>
        <w:widowControl/>
        <w:tabs>
          <w:tab w:val="center" w:pos="567"/>
          <w:tab w:val="right" w:leader="dot" w:pos="9298"/>
        </w:tabs>
        <w:autoSpaceDE w:val="0"/>
        <w:autoSpaceDN w:val="0"/>
        <w:spacing w:beforeLines="50" w:before="156" w:afterLines="50" w:after="156"/>
        <w:ind w:firstLineChars="200" w:firstLine="420"/>
        <w:rPr>
          <w:rFonts w:ascii="黑体" w:eastAsia="黑体" w:hAnsi="黑体"/>
          <w:kern w:val="0"/>
          <w:szCs w:val="20"/>
        </w:rPr>
      </w:pPr>
      <w:bookmarkStart w:id="1" w:name="_Toc26390997"/>
      <w:r w:rsidRPr="00B43218">
        <w:rPr>
          <w:rFonts w:ascii="黑体" w:eastAsia="黑体" w:hAnsi="黑体" w:hint="eastAsia"/>
          <w:kern w:val="0"/>
          <w:szCs w:val="20"/>
        </w:rPr>
        <w:t>教室照明灯具</w:t>
      </w:r>
      <w:bookmarkEnd w:id="1"/>
      <w:r w:rsidRPr="00B43218">
        <w:rPr>
          <w:rFonts w:ascii="黑体" w:eastAsia="黑体" w:hAnsi="黑体" w:hint="eastAsia"/>
          <w:kern w:val="0"/>
          <w:szCs w:val="20"/>
        </w:rPr>
        <w:t xml:space="preserve">   classroom lighting luminaire</w:t>
      </w:r>
    </w:p>
    <w:p w14:paraId="4938CE78" w14:textId="62264B4A" w:rsidR="00594288" w:rsidRDefault="00B43218" w:rsidP="00594288">
      <w:pPr>
        <w:jc w:val="left"/>
        <w:rPr>
          <w:rFonts w:hint="eastAsia"/>
        </w:rPr>
      </w:pPr>
      <w:r w:rsidRPr="00B43218">
        <w:rPr>
          <w:rFonts w:ascii="Times New Roman" w:hAnsi="Times New Roman" w:hint="eastAsia"/>
          <w:szCs w:val="24"/>
        </w:rPr>
        <w:t>教室照明灯具指用于教室课桌面和书写板面照明的灯具。</w:t>
      </w:r>
    </w:p>
    <w:p w14:paraId="2355A896" w14:textId="7FE1C75C" w:rsidR="00594288" w:rsidRPr="00AF2775" w:rsidRDefault="00594288" w:rsidP="00B43218">
      <w:pPr>
        <w:pStyle w:val="aa"/>
        <w:spacing w:before="312" w:after="312"/>
        <w:outlineLvl w:val="0"/>
        <w:rPr>
          <w:rFonts w:hAnsi="黑体" w:cs="Arial"/>
        </w:rPr>
      </w:pPr>
      <w:r w:rsidRPr="00AF2775">
        <w:rPr>
          <w:rFonts w:hAnsi="黑体" w:cs="Arial" w:hint="eastAsia"/>
        </w:rPr>
        <w:t>4</w:t>
      </w:r>
      <w:r w:rsidR="00B43218">
        <w:rPr>
          <w:rFonts w:hAnsi="黑体" w:cs="Arial"/>
        </w:rPr>
        <w:t xml:space="preserve"> </w:t>
      </w:r>
      <w:r w:rsidR="00B43218">
        <w:rPr>
          <w:rFonts w:hAnsi="黑体" w:cs="Arial" w:hint="eastAsia"/>
        </w:rPr>
        <w:t>评价指标体系</w:t>
      </w:r>
    </w:p>
    <w:p w14:paraId="6C6ED3D1" w14:textId="77777777" w:rsidR="00B43218" w:rsidRDefault="00B43218" w:rsidP="00B43218">
      <w:pPr>
        <w:pStyle w:val="aa"/>
        <w:numPr>
          <w:ilvl w:val="1"/>
          <w:numId w:val="1"/>
        </w:numPr>
        <w:spacing w:beforeLines="50" w:before="156" w:afterLines="50" w:after="156"/>
        <w:ind w:left="0" w:firstLine="0"/>
      </w:pPr>
      <w:bookmarkStart w:id="2" w:name="_Toc35333516"/>
      <w:r>
        <w:rPr>
          <w:rFonts w:hint="eastAsia"/>
        </w:rPr>
        <w:t>基本要求</w:t>
      </w:r>
    </w:p>
    <w:p w14:paraId="72C0F108" w14:textId="77777777" w:rsidR="00B43218" w:rsidRDefault="00B43218" w:rsidP="00B43218">
      <w:pPr>
        <w:pStyle w:val="ad"/>
        <w:spacing w:beforeLines="0" w:afterLines="0" w:line="400" w:lineRule="exact"/>
        <w:outlineLvl w:val="9"/>
        <w:rPr>
          <w:rFonts w:ascii="Times New Roman" w:eastAsia="宋体" w:hAnsi="宋体"/>
          <w:kern w:val="2"/>
          <w:szCs w:val="24"/>
        </w:rPr>
      </w:pPr>
      <w:r>
        <w:rPr>
          <w:rFonts w:ascii="Times New Roman" w:eastAsia="宋体" w:hAnsi="宋体" w:hint="eastAsia"/>
          <w:kern w:val="2"/>
          <w:szCs w:val="24"/>
        </w:rPr>
        <w:t xml:space="preserve">4.1.1 </w:t>
      </w:r>
      <w:r>
        <w:rPr>
          <w:rFonts w:ascii="Times New Roman" w:eastAsia="宋体" w:hAnsi="宋体" w:hint="eastAsia"/>
          <w:kern w:val="2"/>
          <w:szCs w:val="24"/>
        </w:rPr>
        <w:t>生产企业近三年，企业无较大环境、安全、质量事故。</w:t>
      </w:r>
    </w:p>
    <w:p w14:paraId="6EEBC6B3" w14:textId="77777777" w:rsidR="00B43218" w:rsidRDefault="00B43218" w:rsidP="00B43218">
      <w:pPr>
        <w:pStyle w:val="ad"/>
        <w:spacing w:beforeLines="0" w:afterLines="0" w:line="400" w:lineRule="exact"/>
        <w:outlineLvl w:val="9"/>
        <w:rPr>
          <w:rFonts w:ascii="Times New Roman" w:eastAsia="宋体" w:hAnsi="宋体"/>
          <w:kern w:val="2"/>
          <w:szCs w:val="24"/>
        </w:rPr>
      </w:pPr>
      <w:r>
        <w:rPr>
          <w:rFonts w:ascii="Times New Roman" w:eastAsia="宋体" w:hAnsi="宋体" w:hint="eastAsia"/>
          <w:kern w:val="2"/>
          <w:szCs w:val="24"/>
        </w:rPr>
        <w:t xml:space="preserve">4.1.2 </w:t>
      </w:r>
      <w:r>
        <w:rPr>
          <w:rFonts w:ascii="Times New Roman" w:eastAsia="宋体" w:hAnsi="宋体" w:hint="eastAsia"/>
          <w:kern w:val="2"/>
          <w:szCs w:val="24"/>
        </w:rPr>
        <w:t>企业无（重大）不良信用记录。</w:t>
      </w:r>
    </w:p>
    <w:p w14:paraId="6632B889" w14:textId="77777777" w:rsidR="00B43218" w:rsidRDefault="00B43218" w:rsidP="00B43218">
      <w:pPr>
        <w:pStyle w:val="ad"/>
        <w:spacing w:beforeLines="0" w:afterLines="0" w:line="400" w:lineRule="exact"/>
        <w:outlineLvl w:val="9"/>
        <w:rPr>
          <w:rFonts w:ascii="Times New Roman" w:eastAsia="宋体" w:hAnsi="宋体"/>
          <w:kern w:val="2"/>
          <w:szCs w:val="24"/>
        </w:rPr>
      </w:pPr>
      <w:r>
        <w:rPr>
          <w:rFonts w:ascii="Times New Roman" w:eastAsia="宋体" w:hAnsi="宋体" w:hint="eastAsia"/>
          <w:kern w:val="2"/>
          <w:szCs w:val="24"/>
        </w:rPr>
        <w:t xml:space="preserve">4.1.3 </w:t>
      </w:r>
      <w:r>
        <w:rPr>
          <w:rFonts w:ascii="Times New Roman" w:eastAsia="宋体" w:hAnsi="宋体" w:hint="eastAsia"/>
          <w:kern w:val="2"/>
          <w:szCs w:val="24"/>
        </w:rPr>
        <w:t>企业应建立并运行符合产品和服务的管理体系。</w:t>
      </w:r>
    </w:p>
    <w:p w14:paraId="42DE552F" w14:textId="77777777" w:rsidR="00B43218" w:rsidRDefault="00B43218" w:rsidP="00B43218">
      <w:pPr>
        <w:pStyle w:val="ad"/>
        <w:spacing w:beforeLines="0" w:afterLines="0" w:line="400" w:lineRule="exact"/>
        <w:outlineLvl w:val="9"/>
        <w:rPr>
          <w:rFonts w:ascii="Times New Roman" w:eastAsia="宋体" w:hAnsi="宋体" w:hint="eastAsia"/>
          <w:kern w:val="2"/>
          <w:szCs w:val="24"/>
        </w:rPr>
      </w:pPr>
      <w:r>
        <w:rPr>
          <w:rFonts w:ascii="Times New Roman" w:eastAsia="宋体" w:hAnsi="宋体" w:hint="eastAsia"/>
          <w:kern w:val="2"/>
          <w:szCs w:val="24"/>
        </w:rPr>
        <w:t xml:space="preserve">4.1.4 </w:t>
      </w:r>
      <w:r>
        <w:rPr>
          <w:rFonts w:ascii="Times New Roman" w:eastAsia="宋体" w:hAnsi="宋体" w:hint="eastAsia"/>
          <w:kern w:val="2"/>
          <w:szCs w:val="24"/>
        </w:rPr>
        <w:t>企业应具备照明设计能力，并提供相应技术支持。</w:t>
      </w:r>
    </w:p>
    <w:p w14:paraId="6676B7C0" w14:textId="77777777" w:rsidR="00B43218" w:rsidRDefault="00B43218" w:rsidP="00B43218">
      <w:pPr>
        <w:pStyle w:val="aa"/>
        <w:numPr>
          <w:ilvl w:val="1"/>
          <w:numId w:val="1"/>
        </w:numPr>
        <w:spacing w:beforeLines="50" w:before="156" w:afterLines="50" w:after="156"/>
        <w:ind w:left="0" w:firstLine="0"/>
      </w:pPr>
      <w:r>
        <w:rPr>
          <w:rFonts w:hint="eastAsia"/>
        </w:rPr>
        <w:t>评价指标分类</w:t>
      </w:r>
    </w:p>
    <w:p w14:paraId="73742C1F" w14:textId="77777777" w:rsidR="00B43218" w:rsidRDefault="00B43218" w:rsidP="00B43218">
      <w:pPr>
        <w:pStyle w:val="ad"/>
        <w:spacing w:beforeLines="0" w:afterLines="0" w:line="400" w:lineRule="exact"/>
        <w:outlineLvl w:val="9"/>
        <w:rPr>
          <w:rFonts w:ascii="Times New Roman" w:eastAsia="宋体" w:hAnsi="宋体"/>
          <w:kern w:val="2"/>
          <w:szCs w:val="24"/>
        </w:rPr>
      </w:pPr>
      <w:r>
        <w:rPr>
          <w:rFonts w:ascii="Times New Roman" w:eastAsia="宋体" w:hAnsi="宋体" w:hint="eastAsia"/>
          <w:kern w:val="2"/>
          <w:szCs w:val="24"/>
        </w:rPr>
        <w:lastRenderedPageBreak/>
        <w:t xml:space="preserve">4.2.1 </w:t>
      </w:r>
      <w:r>
        <w:rPr>
          <w:rFonts w:ascii="Times New Roman" w:eastAsia="宋体" w:hAnsi="宋体" w:hint="eastAsia"/>
          <w:kern w:val="2"/>
          <w:szCs w:val="24"/>
        </w:rPr>
        <w:t>教室照明“领跑者”标准的评价指标分为：基础指标、核心指标和创新性指标。</w:t>
      </w:r>
    </w:p>
    <w:p w14:paraId="4ACD8644" w14:textId="77777777" w:rsidR="00B43218" w:rsidRDefault="00B43218" w:rsidP="00B43218">
      <w:pPr>
        <w:pStyle w:val="ad"/>
        <w:spacing w:beforeLines="0" w:afterLines="0" w:line="400" w:lineRule="exact"/>
        <w:outlineLvl w:val="9"/>
        <w:rPr>
          <w:rFonts w:ascii="Times New Roman" w:eastAsia="宋体" w:hAnsi="宋体"/>
          <w:kern w:val="2"/>
          <w:szCs w:val="24"/>
        </w:rPr>
      </w:pPr>
      <w:r>
        <w:rPr>
          <w:rFonts w:ascii="Times New Roman" w:eastAsia="宋体" w:hAnsi="宋体" w:hint="eastAsia"/>
          <w:kern w:val="2"/>
          <w:szCs w:val="24"/>
        </w:rPr>
        <w:t xml:space="preserve">4.2.2 </w:t>
      </w:r>
      <w:r>
        <w:rPr>
          <w:rFonts w:ascii="Times New Roman" w:eastAsia="宋体" w:hAnsi="宋体" w:hint="eastAsia"/>
          <w:kern w:val="2"/>
          <w:szCs w:val="24"/>
        </w:rPr>
        <w:t>基础指标包括安全及电磁兼容、功率因数、寿命、显色指数、工作温度。</w:t>
      </w:r>
    </w:p>
    <w:p w14:paraId="49A4B2D9" w14:textId="77777777" w:rsidR="00B43218" w:rsidRDefault="00B43218" w:rsidP="00B43218">
      <w:pPr>
        <w:pStyle w:val="ad"/>
        <w:spacing w:beforeLines="0" w:afterLines="0" w:line="400" w:lineRule="exact"/>
        <w:outlineLvl w:val="9"/>
        <w:rPr>
          <w:rFonts w:ascii="Times New Roman" w:eastAsia="宋体" w:hAnsi="宋体"/>
          <w:kern w:val="2"/>
          <w:szCs w:val="24"/>
        </w:rPr>
      </w:pPr>
      <w:r>
        <w:rPr>
          <w:rFonts w:ascii="Times New Roman" w:eastAsia="宋体" w:hAnsi="宋体" w:hint="eastAsia"/>
          <w:kern w:val="2"/>
          <w:szCs w:val="24"/>
        </w:rPr>
        <w:t xml:space="preserve">4.2.3 </w:t>
      </w:r>
      <w:r>
        <w:rPr>
          <w:rFonts w:ascii="Times New Roman" w:eastAsia="宋体" w:hAnsi="宋体" w:hint="eastAsia"/>
          <w:kern w:val="2"/>
          <w:szCs w:val="24"/>
        </w:rPr>
        <w:t>核心指标包括能效、眩光、频闪、</w:t>
      </w:r>
      <w:proofErr w:type="gramStart"/>
      <w:r>
        <w:rPr>
          <w:rFonts w:ascii="Times New Roman" w:eastAsia="宋体" w:hAnsi="宋体" w:hint="eastAsia"/>
          <w:kern w:val="2"/>
          <w:szCs w:val="24"/>
        </w:rPr>
        <w:t>色域指数</w:t>
      </w:r>
      <w:proofErr w:type="gramEnd"/>
      <w:r>
        <w:rPr>
          <w:rFonts w:ascii="Times New Roman" w:eastAsia="宋体" w:hAnsi="宋体" w:hint="eastAsia"/>
          <w:kern w:val="2"/>
          <w:szCs w:val="24"/>
        </w:rPr>
        <w:t>、谐波、色容差、调光性能。</w:t>
      </w:r>
    </w:p>
    <w:p w14:paraId="4E6E07FF" w14:textId="77777777" w:rsidR="00B43218" w:rsidRDefault="00B43218" w:rsidP="00B43218">
      <w:pPr>
        <w:pStyle w:val="ad"/>
        <w:spacing w:beforeLines="0" w:afterLines="0" w:line="400" w:lineRule="exact"/>
        <w:outlineLvl w:val="9"/>
        <w:rPr>
          <w:rFonts w:ascii="Times New Roman" w:eastAsia="宋体" w:hAnsi="宋体"/>
          <w:kern w:val="2"/>
          <w:szCs w:val="24"/>
        </w:rPr>
      </w:pPr>
      <w:r>
        <w:rPr>
          <w:rFonts w:ascii="Times New Roman" w:eastAsia="宋体" w:hAnsi="宋体" w:hint="eastAsia"/>
          <w:kern w:val="2"/>
          <w:szCs w:val="24"/>
        </w:rPr>
        <w:t xml:space="preserve">4.2.4 </w:t>
      </w:r>
      <w:r>
        <w:rPr>
          <w:rFonts w:ascii="Times New Roman" w:eastAsia="宋体" w:hAnsi="宋体" w:hint="eastAsia"/>
          <w:kern w:val="2"/>
          <w:szCs w:val="24"/>
        </w:rPr>
        <w:t>核心指标分为三个等级，包括先进水平，相当于企标排行榜中</w:t>
      </w:r>
      <w:r>
        <w:rPr>
          <w:rFonts w:ascii="Times New Roman" w:eastAsia="宋体" w:hAnsi="宋体" w:hint="eastAsia"/>
          <w:kern w:val="2"/>
          <w:szCs w:val="24"/>
        </w:rPr>
        <w:t>5</w:t>
      </w:r>
      <w:r>
        <w:rPr>
          <w:rFonts w:ascii="Times New Roman" w:eastAsia="宋体" w:hAnsi="宋体" w:hint="eastAsia"/>
          <w:kern w:val="2"/>
          <w:szCs w:val="24"/>
        </w:rPr>
        <w:t>星级水平；平均水平，相当于企标排行榜中</w:t>
      </w:r>
      <w:r>
        <w:rPr>
          <w:rFonts w:ascii="Times New Roman" w:eastAsia="宋体" w:hAnsi="宋体" w:hint="eastAsia"/>
          <w:kern w:val="2"/>
          <w:szCs w:val="24"/>
        </w:rPr>
        <w:t>4</w:t>
      </w:r>
      <w:r>
        <w:rPr>
          <w:rFonts w:ascii="Times New Roman" w:eastAsia="宋体" w:hAnsi="宋体" w:hint="eastAsia"/>
          <w:kern w:val="2"/>
          <w:szCs w:val="24"/>
        </w:rPr>
        <w:t>星级水平；基准水平，相当于企标排行榜中</w:t>
      </w:r>
      <w:r>
        <w:rPr>
          <w:rFonts w:ascii="Times New Roman" w:eastAsia="宋体" w:hAnsi="宋体" w:hint="eastAsia"/>
          <w:kern w:val="2"/>
          <w:szCs w:val="24"/>
        </w:rPr>
        <w:t>3</w:t>
      </w:r>
      <w:r>
        <w:rPr>
          <w:rFonts w:ascii="Times New Roman" w:eastAsia="宋体" w:hAnsi="宋体" w:hint="eastAsia"/>
          <w:kern w:val="2"/>
          <w:szCs w:val="24"/>
        </w:rPr>
        <w:t>星级水平。</w:t>
      </w:r>
    </w:p>
    <w:p w14:paraId="6E35A151" w14:textId="77777777" w:rsidR="00B43218" w:rsidRDefault="00B43218" w:rsidP="00B43218">
      <w:pPr>
        <w:pStyle w:val="ad"/>
        <w:spacing w:beforeLines="0" w:afterLines="0" w:line="400" w:lineRule="exact"/>
        <w:outlineLvl w:val="9"/>
        <w:rPr>
          <w:rFonts w:ascii="Times New Roman" w:eastAsia="宋体" w:hAnsi="宋体" w:hint="eastAsia"/>
          <w:kern w:val="2"/>
          <w:szCs w:val="24"/>
        </w:rPr>
      </w:pPr>
      <w:r>
        <w:rPr>
          <w:rFonts w:ascii="Times New Roman" w:eastAsia="宋体" w:hAnsi="宋体" w:hint="eastAsia"/>
          <w:kern w:val="2"/>
          <w:szCs w:val="24"/>
        </w:rPr>
        <w:t xml:space="preserve">4.2.5 </w:t>
      </w:r>
      <w:r>
        <w:rPr>
          <w:rFonts w:ascii="Times New Roman" w:eastAsia="宋体" w:hAnsi="宋体" w:hint="eastAsia"/>
          <w:kern w:val="2"/>
          <w:szCs w:val="24"/>
        </w:rPr>
        <w:t>创新性指标为健康照明和智能化技术应用等级，划分成平均水平和先进水平两个等级，其中先进水平相当于企标排行榜中的</w:t>
      </w:r>
      <w:r>
        <w:rPr>
          <w:rFonts w:ascii="Times New Roman" w:eastAsia="宋体" w:hAnsi="宋体" w:hint="eastAsia"/>
          <w:kern w:val="2"/>
          <w:szCs w:val="24"/>
        </w:rPr>
        <w:t>5</w:t>
      </w:r>
      <w:r>
        <w:rPr>
          <w:rFonts w:ascii="Times New Roman" w:eastAsia="宋体" w:hAnsi="宋体" w:hint="eastAsia"/>
          <w:kern w:val="2"/>
          <w:szCs w:val="24"/>
        </w:rPr>
        <w:t>星级水平，平均水平相当于企标排行榜中</w:t>
      </w:r>
      <w:r>
        <w:rPr>
          <w:rFonts w:ascii="Times New Roman" w:eastAsia="宋体" w:hAnsi="宋体" w:hint="eastAsia"/>
          <w:kern w:val="2"/>
          <w:szCs w:val="24"/>
        </w:rPr>
        <w:t>4</w:t>
      </w:r>
      <w:r>
        <w:rPr>
          <w:rFonts w:ascii="Times New Roman" w:eastAsia="宋体" w:hAnsi="宋体" w:hint="eastAsia"/>
          <w:kern w:val="2"/>
          <w:szCs w:val="24"/>
        </w:rPr>
        <w:t>星级水平。</w:t>
      </w:r>
    </w:p>
    <w:p w14:paraId="1A7A9EE8" w14:textId="77777777" w:rsidR="00B43218" w:rsidRDefault="00B43218" w:rsidP="00B43218">
      <w:pPr>
        <w:pStyle w:val="aa"/>
        <w:numPr>
          <w:ilvl w:val="1"/>
          <w:numId w:val="1"/>
        </w:numPr>
        <w:spacing w:beforeLines="50" w:before="156" w:afterLines="50" w:after="156"/>
        <w:ind w:left="0" w:firstLine="0"/>
      </w:pPr>
      <w:r>
        <w:rPr>
          <w:rFonts w:hint="eastAsia"/>
        </w:rPr>
        <w:t>评价指标体系框架</w:t>
      </w:r>
    </w:p>
    <w:p w14:paraId="6D2EF522" w14:textId="77777777" w:rsidR="00B43218" w:rsidRDefault="00B43218" w:rsidP="00B43218">
      <w:pPr>
        <w:pStyle w:val="ad"/>
        <w:spacing w:beforeLines="0" w:afterLines="0" w:line="400" w:lineRule="exact"/>
        <w:outlineLvl w:val="9"/>
        <w:rPr>
          <w:rFonts w:ascii="Times New Roman" w:eastAsia="宋体" w:hAnsi="宋体"/>
          <w:kern w:val="2"/>
          <w:szCs w:val="24"/>
        </w:rPr>
      </w:pPr>
      <w:r>
        <w:rPr>
          <w:rFonts w:ascii="Times New Roman" w:eastAsia="宋体" w:hAnsi="宋体" w:hint="eastAsia"/>
          <w:kern w:val="2"/>
          <w:szCs w:val="24"/>
        </w:rPr>
        <w:t xml:space="preserve">4.3.1 </w:t>
      </w:r>
      <w:r>
        <w:rPr>
          <w:rFonts w:ascii="Times New Roman" w:eastAsia="宋体" w:hAnsi="宋体" w:hint="eastAsia"/>
          <w:kern w:val="2"/>
          <w:szCs w:val="24"/>
        </w:rPr>
        <w:t>教室灯具“领跑者”标准的评价指标体系框架见表</w:t>
      </w:r>
      <w:r>
        <w:rPr>
          <w:rFonts w:ascii="Times New Roman" w:eastAsia="宋体" w:hAnsi="宋体" w:hint="eastAsia"/>
          <w:kern w:val="2"/>
          <w:szCs w:val="24"/>
        </w:rPr>
        <w:t>1</w:t>
      </w:r>
      <w:r>
        <w:rPr>
          <w:rFonts w:ascii="Times New Roman" w:eastAsia="宋体" w:hAnsi="宋体" w:hint="eastAsia"/>
          <w:kern w:val="2"/>
          <w:szCs w:val="24"/>
        </w:rPr>
        <w:t>。</w:t>
      </w:r>
    </w:p>
    <w:p w14:paraId="3D7F04CD" w14:textId="77777777" w:rsidR="00B43218" w:rsidRDefault="00B43218" w:rsidP="00B43218">
      <w:pPr>
        <w:pStyle w:val="ad"/>
        <w:spacing w:beforeLines="0" w:afterLines="0" w:line="400" w:lineRule="exact"/>
        <w:ind w:left="420"/>
        <w:jc w:val="center"/>
        <w:outlineLvl w:val="9"/>
        <w:rPr>
          <w:rFonts w:ascii="Times New Roman" w:eastAsia="宋体" w:hAnsi="宋体" w:hint="eastAsia"/>
          <w:kern w:val="2"/>
          <w:szCs w:val="24"/>
        </w:rPr>
      </w:pPr>
      <w:r>
        <w:rPr>
          <w:rFonts w:ascii="Times New Roman" w:eastAsia="宋体" w:hAnsi="宋体" w:hint="eastAsia"/>
          <w:kern w:val="2"/>
          <w:szCs w:val="24"/>
        </w:rPr>
        <w:t>表</w:t>
      </w:r>
      <w:r>
        <w:rPr>
          <w:rFonts w:ascii="Times New Roman" w:eastAsia="宋体" w:hAnsi="宋体" w:hint="eastAsia"/>
          <w:kern w:val="2"/>
          <w:szCs w:val="24"/>
        </w:rPr>
        <w:t xml:space="preserve">1 </w:t>
      </w:r>
      <w:r>
        <w:rPr>
          <w:rFonts w:ascii="Times New Roman" w:eastAsia="宋体" w:hAnsi="宋体" w:hint="eastAsia"/>
          <w:kern w:val="2"/>
          <w:szCs w:val="24"/>
        </w:rPr>
        <w:t>教室灯具评价指标体系框架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6"/>
        <w:gridCol w:w="849"/>
        <w:gridCol w:w="1247"/>
        <w:gridCol w:w="1245"/>
        <w:gridCol w:w="1245"/>
        <w:gridCol w:w="1245"/>
        <w:gridCol w:w="1247"/>
        <w:gridCol w:w="1715"/>
      </w:tblGrid>
      <w:tr w:rsidR="00B43218" w14:paraId="2D2331F2" w14:textId="77777777" w:rsidTr="00151D6F">
        <w:tc>
          <w:tcPr>
            <w:tcW w:w="1246" w:type="dxa"/>
            <w:vMerge w:val="restart"/>
            <w:vAlign w:val="center"/>
          </w:tcPr>
          <w:p w14:paraId="4CE7F23B" w14:textId="77777777" w:rsidR="00B43218" w:rsidRDefault="00B43218" w:rsidP="00151D6F">
            <w:pPr>
              <w:pStyle w:val="ad"/>
              <w:spacing w:beforeLines="0" w:afterLines="0"/>
              <w:jc w:val="center"/>
              <w:outlineLvl w:val="9"/>
              <w:rPr>
                <w:rFonts w:ascii="Times New Roman" w:eastAsia="宋体" w:hAnsi="宋体"/>
                <w:kern w:val="2"/>
                <w:szCs w:val="24"/>
              </w:rPr>
            </w:pPr>
            <w:bookmarkStart w:id="3" w:name="_Toc35333517"/>
            <w:bookmarkEnd w:id="2"/>
            <w:r>
              <w:rPr>
                <w:rFonts w:ascii="Times New Roman" w:eastAsia="宋体" w:hAnsi="宋体" w:hint="eastAsia"/>
                <w:kern w:val="2"/>
                <w:szCs w:val="24"/>
              </w:rPr>
              <w:t>序号</w:t>
            </w:r>
          </w:p>
        </w:tc>
        <w:tc>
          <w:tcPr>
            <w:tcW w:w="849" w:type="dxa"/>
            <w:vMerge w:val="restart"/>
            <w:vAlign w:val="center"/>
          </w:tcPr>
          <w:p w14:paraId="79449F64"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指标</w:t>
            </w:r>
          </w:p>
          <w:p w14:paraId="58A3B6FD"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类型</w:t>
            </w:r>
          </w:p>
        </w:tc>
        <w:tc>
          <w:tcPr>
            <w:tcW w:w="1247" w:type="dxa"/>
            <w:vMerge w:val="restart"/>
            <w:vAlign w:val="center"/>
          </w:tcPr>
          <w:p w14:paraId="1BAFE4E6"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评价指标</w:t>
            </w:r>
          </w:p>
        </w:tc>
        <w:tc>
          <w:tcPr>
            <w:tcW w:w="1245" w:type="dxa"/>
            <w:vMerge w:val="restart"/>
            <w:vAlign w:val="center"/>
          </w:tcPr>
          <w:p w14:paraId="45ED0EFD"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指标来源</w:t>
            </w:r>
          </w:p>
        </w:tc>
        <w:tc>
          <w:tcPr>
            <w:tcW w:w="3737" w:type="dxa"/>
            <w:gridSpan w:val="3"/>
            <w:vAlign w:val="center"/>
          </w:tcPr>
          <w:p w14:paraId="3264EC08"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指标水平分级</w:t>
            </w:r>
          </w:p>
        </w:tc>
        <w:tc>
          <w:tcPr>
            <w:tcW w:w="1715" w:type="dxa"/>
            <w:vMerge w:val="restart"/>
            <w:vAlign w:val="center"/>
          </w:tcPr>
          <w:p w14:paraId="64BFCCDD"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判断依据</w:t>
            </w:r>
            <w:r>
              <w:rPr>
                <w:rFonts w:ascii="Times New Roman" w:eastAsia="宋体" w:hAnsi="宋体" w:hint="eastAsia"/>
                <w:kern w:val="2"/>
                <w:szCs w:val="24"/>
              </w:rPr>
              <w:t>/</w:t>
            </w:r>
            <w:r>
              <w:rPr>
                <w:rFonts w:ascii="Times New Roman" w:eastAsia="宋体" w:hAnsi="宋体" w:hint="eastAsia"/>
                <w:kern w:val="2"/>
                <w:szCs w:val="24"/>
              </w:rPr>
              <w:t>方法</w:t>
            </w:r>
          </w:p>
        </w:tc>
      </w:tr>
      <w:tr w:rsidR="00B43218" w14:paraId="614A0D83" w14:textId="77777777" w:rsidTr="00151D6F">
        <w:tc>
          <w:tcPr>
            <w:tcW w:w="1246" w:type="dxa"/>
            <w:vMerge/>
            <w:vAlign w:val="center"/>
          </w:tcPr>
          <w:p w14:paraId="3A3FEDD3"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849" w:type="dxa"/>
            <w:vMerge/>
            <w:vAlign w:val="center"/>
          </w:tcPr>
          <w:p w14:paraId="41939A7C"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1247" w:type="dxa"/>
            <w:vMerge/>
            <w:vAlign w:val="center"/>
          </w:tcPr>
          <w:p w14:paraId="569A50ED"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1245" w:type="dxa"/>
            <w:vMerge/>
            <w:vAlign w:val="center"/>
          </w:tcPr>
          <w:p w14:paraId="791F71AE"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1245" w:type="dxa"/>
            <w:vAlign w:val="center"/>
          </w:tcPr>
          <w:p w14:paraId="46591B65"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基准水平</w:t>
            </w:r>
          </w:p>
        </w:tc>
        <w:tc>
          <w:tcPr>
            <w:tcW w:w="1245" w:type="dxa"/>
            <w:vAlign w:val="center"/>
          </w:tcPr>
          <w:p w14:paraId="637CBCD8"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平均水平</w:t>
            </w:r>
          </w:p>
        </w:tc>
        <w:tc>
          <w:tcPr>
            <w:tcW w:w="1247" w:type="dxa"/>
            <w:vAlign w:val="center"/>
          </w:tcPr>
          <w:p w14:paraId="43658B6D"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先进水平</w:t>
            </w:r>
          </w:p>
        </w:tc>
        <w:tc>
          <w:tcPr>
            <w:tcW w:w="1715" w:type="dxa"/>
            <w:vMerge/>
            <w:vAlign w:val="center"/>
          </w:tcPr>
          <w:p w14:paraId="29A2B016" w14:textId="77777777" w:rsidR="00B43218" w:rsidRDefault="00B43218" w:rsidP="00151D6F">
            <w:pPr>
              <w:pStyle w:val="ad"/>
              <w:spacing w:beforeLines="0" w:afterLines="0"/>
              <w:jc w:val="center"/>
              <w:outlineLvl w:val="9"/>
              <w:rPr>
                <w:rFonts w:ascii="Times New Roman" w:eastAsia="宋体" w:hAnsi="宋体"/>
                <w:kern w:val="2"/>
                <w:szCs w:val="24"/>
              </w:rPr>
            </w:pPr>
          </w:p>
        </w:tc>
      </w:tr>
      <w:tr w:rsidR="00B43218" w14:paraId="3AB66727" w14:textId="77777777" w:rsidTr="00151D6F">
        <w:tc>
          <w:tcPr>
            <w:tcW w:w="1246" w:type="dxa"/>
            <w:vAlign w:val="center"/>
          </w:tcPr>
          <w:p w14:paraId="70F54C67"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1</w:t>
            </w:r>
          </w:p>
        </w:tc>
        <w:tc>
          <w:tcPr>
            <w:tcW w:w="849" w:type="dxa"/>
            <w:vMerge w:val="restart"/>
            <w:vAlign w:val="center"/>
          </w:tcPr>
          <w:p w14:paraId="0D810840"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基础指标</w:t>
            </w:r>
          </w:p>
        </w:tc>
        <w:tc>
          <w:tcPr>
            <w:tcW w:w="1247" w:type="dxa"/>
            <w:vAlign w:val="center"/>
          </w:tcPr>
          <w:p w14:paraId="2A264A68"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安全及电磁兼容</w:t>
            </w:r>
          </w:p>
        </w:tc>
        <w:tc>
          <w:tcPr>
            <w:tcW w:w="1245" w:type="dxa"/>
            <w:vAlign w:val="center"/>
          </w:tcPr>
          <w:p w14:paraId="1A013261"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GB 7000.1</w:t>
            </w:r>
          </w:p>
        </w:tc>
        <w:tc>
          <w:tcPr>
            <w:tcW w:w="3737" w:type="dxa"/>
            <w:gridSpan w:val="3"/>
            <w:vAlign w:val="center"/>
          </w:tcPr>
          <w:p w14:paraId="3AF6685D"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符合标准要求</w:t>
            </w:r>
          </w:p>
        </w:tc>
        <w:tc>
          <w:tcPr>
            <w:tcW w:w="1715" w:type="dxa"/>
            <w:vAlign w:val="center"/>
          </w:tcPr>
          <w:p w14:paraId="1A0E894F"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kern w:val="2"/>
                <w:szCs w:val="24"/>
              </w:rPr>
              <w:t>GB 7000.1</w:t>
            </w:r>
            <w:r>
              <w:rPr>
                <w:rFonts w:ascii="Times New Roman" w:eastAsia="宋体" w:hAnsi="宋体"/>
                <w:kern w:val="2"/>
                <w:szCs w:val="24"/>
              </w:rPr>
              <w:t>、</w:t>
            </w:r>
            <w:r>
              <w:rPr>
                <w:rFonts w:ascii="Times New Roman" w:eastAsia="宋体"/>
                <w:kern w:val="2"/>
                <w:szCs w:val="24"/>
              </w:rPr>
              <w:t>GB 7000.201</w:t>
            </w:r>
            <w:r>
              <w:rPr>
                <w:rFonts w:ascii="Times New Roman" w:eastAsia="宋体" w:hAnsi="宋体"/>
                <w:kern w:val="2"/>
                <w:szCs w:val="24"/>
              </w:rPr>
              <w:t>或</w:t>
            </w:r>
            <w:r>
              <w:rPr>
                <w:rFonts w:ascii="Times New Roman" w:eastAsia="宋体"/>
                <w:kern w:val="2"/>
                <w:szCs w:val="24"/>
              </w:rPr>
              <w:t>GB 7000.202</w:t>
            </w:r>
            <w:r>
              <w:rPr>
                <w:rFonts w:ascii="Times New Roman" w:eastAsia="宋体" w:hAnsi="宋体"/>
                <w:kern w:val="2"/>
                <w:szCs w:val="24"/>
              </w:rPr>
              <w:t>、</w:t>
            </w:r>
            <w:r>
              <w:rPr>
                <w:rFonts w:ascii="Times New Roman" w:eastAsia="宋体"/>
                <w:kern w:val="2"/>
                <w:szCs w:val="24"/>
              </w:rPr>
              <w:t>GB 17625.1</w:t>
            </w:r>
            <w:r>
              <w:rPr>
                <w:rFonts w:ascii="Times New Roman" w:eastAsia="宋体" w:hAnsi="宋体"/>
                <w:kern w:val="2"/>
                <w:szCs w:val="24"/>
              </w:rPr>
              <w:t>、</w:t>
            </w:r>
            <w:r>
              <w:rPr>
                <w:rFonts w:ascii="Times New Roman" w:eastAsia="宋体"/>
                <w:kern w:val="2"/>
                <w:szCs w:val="24"/>
              </w:rPr>
              <w:t xml:space="preserve"> GB/T 17743</w:t>
            </w:r>
          </w:p>
        </w:tc>
      </w:tr>
      <w:tr w:rsidR="00B43218" w14:paraId="00EFE4BE" w14:textId="77777777" w:rsidTr="00151D6F">
        <w:tc>
          <w:tcPr>
            <w:tcW w:w="1246" w:type="dxa"/>
            <w:vAlign w:val="center"/>
          </w:tcPr>
          <w:p w14:paraId="02A019A4"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2</w:t>
            </w:r>
          </w:p>
        </w:tc>
        <w:tc>
          <w:tcPr>
            <w:tcW w:w="849" w:type="dxa"/>
            <w:vMerge/>
            <w:vAlign w:val="center"/>
          </w:tcPr>
          <w:p w14:paraId="53044D38"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1247" w:type="dxa"/>
            <w:vAlign w:val="center"/>
          </w:tcPr>
          <w:p w14:paraId="6713305D"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功率因数</w:t>
            </w:r>
          </w:p>
        </w:tc>
        <w:tc>
          <w:tcPr>
            <w:tcW w:w="1245" w:type="dxa"/>
            <w:vAlign w:val="center"/>
          </w:tcPr>
          <w:p w14:paraId="66335A84"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3737" w:type="dxa"/>
            <w:gridSpan w:val="3"/>
            <w:vAlign w:val="center"/>
          </w:tcPr>
          <w:p w14:paraId="5B246805"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宋体" w:eastAsia="宋体" w:hAnsi="宋体" w:hint="eastAsia"/>
                <w:kern w:val="2"/>
                <w:szCs w:val="24"/>
              </w:rPr>
              <w:t>≥</w:t>
            </w:r>
            <w:r>
              <w:rPr>
                <w:rFonts w:ascii="Times New Roman" w:eastAsia="宋体" w:hAnsi="宋体" w:hint="eastAsia"/>
                <w:kern w:val="2"/>
                <w:szCs w:val="24"/>
              </w:rPr>
              <w:t>0.90</w:t>
            </w:r>
          </w:p>
        </w:tc>
        <w:tc>
          <w:tcPr>
            <w:tcW w:w="1715" w:type="dxa"/>
            <w:vAlign w:val="center"/>
          </w:tcPr>
          <w:p w14:paraId="1EB78181" w14:textId="77777777" w:rsidR="00B43218" w:rsidRDefault="00B43218" w:rsidP="00151D6F">
            <w:pPr>
              <w:pStyle w:val="ad"/>
              <w:spacing w:beforeLines="0" w:afterLines="0"/>
              <w:jc w:val="center"/>
              <w:outlineLvl w:val="9"/>
              <w:rPr>
                <w:rFonts w:ascii="Times New Roman" w:eastAsia="宋体" w:hAnsi="宋体"/>
                <w:kern w:val="2"/>
                <w:szCs w:val="24"/>
              </w:rPr>
            </w:pPr>
          </w:p>
        </w:tc>
      </w:tr>
      <w:tr w:rsidR="00B43218" w14:paraId="67FAC73E" w14:textId="77777777" w:rsidTr="00151D6F">
        <w:tc>
          <w:tcPr>
            <w:tcW w:w="1246" w:type="dxa"/>
            <w:vAlign w:val="center"/>
          </w:tcPr>
          <w:p w14:paraId="0E270D51"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3</w:t>
            </w:r>
          </w:p>
        </w:tc>
        <w:tc>
          <w:tcPr>
            <w:tcW w:w="849" w:type="dxa"/>
            <w:vMerge/>
            <w:vAlign w:val="center"/>
          </w:tcPr>
          <w:p w14:paraId="0B368A10"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1247" w:type="dxa"/>
            <w:vAlign w:val="center"/>
          </w:tcPr>
          <w:p w14:paraId="465B382E"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寿命</w:t>
            </w:r>
          </w:p>
        </w:tc>
        <w:tc>
          <w:tcPr>
            <w:tcW w:w="1245" w:type="dxa"/>
            <w:vAlign w:val="center"/>
          </w:tcPr>
          <w:p w14:paraId="34870CEC"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3737" w:type="dxa"/>
            <w:gridSpan w:val="3"/>
            <w:vAlign w:val="center"/>
          </w:tcPr>
          <w:p w14:paraId="3C07918D"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宋体" w:eastAsia="宋体" w:hAnsi="宋体" w:hint="eastAsia"/>
                <w:kern w:val="2"/>
                <w:szCs w:val="24"/>
              </w:rPr>
              <w:t>≥25000h</w:t>
            </w:r>
          </w:p>
        </w:tc>
        <w:tc>
          <w:tcPr>
            <w:tcW w:w="1715" w:type="dxa"/>
            <w:vAlign w:val="center"/>
          </w:tcPr>
          <w:p w14:paraId="0967A392" w14:textId="77777777" w:rsidR="00B43218" w:rsidRDefault="00B43218" w:rsidP="00151D6F">
            <w:pPr>
              <w:pStyle w:val="ad"/>
              <w:spacing w:beforeLines="0" w:afterLines="0"/>
              <w:jc w:val="center"/>
              <w:outlineLvl w:val="9"/>
              <w:rPr>
                <w:rFonts w:ascii="Times New Roman" w:eastAsia="宋体" w:hAnsi="宋体"/>
                <w:kern w:val="2"/>
                <w:szCs w:val="24"/>
              </w:rPr>
            </w:pPr>
          </w:p>
        </w:tc>
      </w:tr>
      <w:tr w:rsidR="00B43218" w14:paraId="6765D4B5" w14:textId="77777777" w:rsidTr="00151D6F">
        <w:tc>
          <w:tcPr>
            <w:tcW w:w="1246" w:type="dxa"/>
            <w:vAlign w:val="center"/>
          </w:tcPr>
          <w:p w14:paraId="1ABA8000" w14:textId="77777777" w:rsidR="00B43218" w:rsidRDefault="00B43218" w:rsidP="00151D6F">
            <w:pPr>
              <w:pStyle w:val="ad"/>
              <w:spacing w:beforeLines="0" w:afterLines="0"/>
              <w:jc w:val="center"/>
              <w:outlineLvl w:val="9"/>
              <w:rPr>
                <w:rFonts w:ascii="Times New Roman" w:eastAsia="宋体" w:hAnsi="宋体" w:hint="eastAsia"/>
                <w:kern w:val="2"/>
                <w:szCs w:val="24"/>
              </w:rPr>
            </w:pPr>
            <w:r>
              <w:rPr>
                <w:rFonts w:ascii="Times New Roman" w:eastAsia="宋体" w:hAnsi="宋体" w:hint="eastAsia"/>
                <w:kern w:val="2"/>
                <w:szCs w:val="24"/>
              </w:rPr>
              <w:t>4</w:t>
            </w:r>
          </w:p>
        </w:tc>
        <w:tc>
          <w:tcPr>
            <w:tcW w:w="849" w:type="dxa"/>
            <w:vMerge/>
            <w:vAlign w:val="center"/>
          </w:tcPr>
          <w:p w14:paraId="7FCD37BE"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1247" w:type="dxa"/>
            <w:vAlign w:val="center"/>
          </w:tcPr>
          <w:p w14:paraId="7EE0799E"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一般显色指数</w:t>
            </w:r>
          </w:p>
        </w:tc>
        <w:tc>
          <w:tcPr>
            <w:tcW w:w="1245" w:type="dxa"/>
            <w:vAlign w:val="center"/>
          </w:tcPr>
          <w:p w14:paraId="04A69D82"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3737" w:type="dxa"/>
            <w:gridSpan w:val="3"/>
            <w:vAlign w:val="center"/>
          </w:tcPr>
          <w:p w14:paraId="06F5487D"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&gt;80</w:t>
            </w:r>
          </w:p>
        </w:tc>
        <w:tc>
          <w:tcPr>
            <w:tcW w:w="1715" w:type="dxa"/>
            <w:vAlign w:val="center"/>
          </w:tcPr>
          <w:p w14:paraId="0AEAA919" w14:textId="77777777" w:rsidR="00B43218" w:rsidRDefault="00B43218" w:rsidP="00151D6F">
            <w:pPr>
              <w:pStyle w:val="ad"/>
              <w:spacing w:beforeLines="0" w:afterLines="0"/>
              <w:jc w:val="center"/>
              <w:outlineLvl w:val="9"/>
              <w:rPr>
                <w:rFonts w:ascii="Times New Roman" w:eastAsia="宋体" w:hAnsi="宋体"/>
                <w:kern w:val="2"/>
                <w:szCs w:val="24"/>
              </w:rPr>
            </w:pPr>
          </w:p>
        </w:tc>
      </w:tr>
      <w:tr w:rsidR="00B43218" w14:paraId="5394F28A" w14:textId="77777777" w:rsidTr="00151D6F">
        <w:tc>
          <w:tcPr>
            <w:tcW w:w="1246" w:type="dxa"/>
            <w:vAlign w:val="center"/>
          </w:tcPr>
          <w:p w14:paraId="489E1F89" w14:textId="77777777" w:rsidR="00B43218" w:rsidRDefault="00B43218" w:rsidP="00151D6F">
            <w:pPr>
              <w:pStyle w:val="ad"/>
              <w:spacing w:beforeLines="0" w:afterLines="0"/>
              <w:jc w:val="center"/>
              <w:outlineLvl w:val="9"/>
              <w:rPr>
                <w:rFonts w:ascii="Times New Roman" w:eastAsia="宋体" w:hAnsi="宋体" w:hint="eastAsia"/>
                <w:kern w:val="2"/>
                <w:szCs w:val="24"/>
              </w:rPr>
            </w:pPr>
            <w:r>
              <w:rPr>
                <w:rFonts w:ascii="Times New Roman" w:eastAsia="宋体" w:hAnsi="宋体" w:hint="eastAsia"/>
                <w:kern w:val="2"/>
                <w:szCs w:val="24"/>
              </w:rPr>
              <w:t>5</w:t>
            </w:r>
          </w:p>
        </w:tc>
        <w:tc>
          <w:tcPr>
            <w:tcW w:w="849" w:type="dxa"/>
            <w:vMerge/>
            <w:vAlign w:val="center"/>
          </w:tcPr>
          <w:p w14:paraId="752CA74E"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1247" w:type="dxa"/>
            <w:vAlign w:val="center"/>
          </w:tcPr>
          <w:p w14:paraId="4D1B41B0"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特殊显色指数</w:t>
            </w:r>
            <w:r>
              <w:rPr>
                <w:rFonts w:ascii="Times New Roman" w:eastAsia="宋体" w:hAnsi="宋体" w:hint="eastAsia"/>
                <w:kern w:val="2"/>
                <w:szCs w:val="24"/>
              </w:rPr>
              <w:t>R9</w:t>
            </w:r>
          </w:p>
        </w:tc>
        <w:tc>
          <w:tcPr>
            <w:tcW w:w="1245" w:type="dxa"/>
            <w:vAlign w:val="center"/>
          </w:tcPr>
          <w:p w14:paraId="29B3DB93"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3737" w:type="dxa"/>
            <w:gridSpan w:val="3"/>
            <w:vAlign w:val="center"/>
          </w:tcPr>
          <w:p w14:paraId="73FB59AF"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&gt;0</w:t>
            </w:r>
          </w:p>
        </w:tc>
        <w:tc>
          <w:tcPr>
            <w:tcW w:w="1715" w:type="dxa"/>
            <w:vAlign w:val="center"/>
          </w:tcPr>
          <w:p w14:paraId="0CAC9320" w14:textId="77777777" w:rsidR="00B43218" w:rsidRDefault="00B43218" w:rsidP="00151D6F">
            <w:pPr>
              <w:pStyle w:val="ad"/>
              <w:spacing w:beforeLines="0" w:afterLines="0"/>
              <w:jc w:val="center"/>
              <w:outlineLvl w:val="9"/>
              <w:rPr>
                <w:rFonts w:ascii="Times New Roman" w:eastAsia="宋体" w:hAnsi="宋体"/>
                <w:kern w:val="2"/>
                <w:szCs w:val="24"/>
              </w:rPr>
            </w:pPr>
          </w:p>
        </w:tc>
      </w:tr>
      <w:tr w:rsidR="00B43218" w14:paraId="0B5334C7" w14:textId="77777777" w:rsidTr="00151D6F">
        <w:tc>
          <w:tcPr>
            <w:tcW w:w="1246" w:type="dxa"/>
            <w:vAlign w:val="center"/>
          </w:tcPr>
          <w:p w14:paraId="14296FA7" w14:textId="77777777" w:rsidR="00B43218" w:rsidRDefault="00B43218" w:rsidP="00151D6F">
            <w:pPr>
              <w:pStyle w:val="ad"/>
              <w:spacing w:beforeLines="0" w:afterLines="0"/>
              <w:jc w:val="center"/>
              <w:outlineLvl w:val="9"/>
              <w:rPr>
                <w:rFonts w:ascii="Times New Roman" w:eastAsia="宋体" w:hAnsi="宋体" w:hint="eastAsia"/>
                <w:kern w:val="2"/>
                <w:szCs w:val="24"/>
              </w:rPr>
            </w:pPr>
            <w:r>
              <w:rPr>
                <w:rFonts w:ascii="Times New Roman" w:eastAsia="宋体" w:hAnsi="宋体" w:hint="eastAsia"/>
                <w:kern w:val="2"/>
                <w:szCs w:val="24"/>
              </w:rPr>
              <w:t>6</w:t>
            </w:r>
          </w:p>
        </w:tc>
        <w:tc>
          <w:tcPr>
            <w:tcW w:w="849" w:type="dxa"/>
            <w:vMerge/>
            <w:vAlign w:val="center"/>
          </w:tcPr>
          <w:p w14:paraId="14AD1324"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1247" w:type="dxa"/>
            <w:vAlign w:val="center"/>
          </w:tcPr>
          <w:p w14:paraId="4EC40BC4"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工作温度</w:t>
            </w:r>
          </w:p>
        </w:tc>
        <w:tc>
          <w:tcPr>
            <w:tcW w:w="1245" w:type="dxa"/>
            <w:vAlign w:val="center"/>
          </w:tcPr>
          <w:p w14:paraId="5204472D"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3737" w:type="dxa"/>
            <w:gridSpan w:val="3"/>
            <w:vAlign w:val="center"/>
          </w:tcPr>
          <w:p w14:paraId="092B758C"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-20</w:t>
            </w:r>
            <w:r>
              <w:rPr>
                <w:rFonts w:hAnsi="黑体" w:hint="eastAsia"/>
                <w:kern w:val="2"/>
                <w:szCs w:val="24"/>
              </w:rPr>
              <w:t>～</w:t>
            </w:r>
            <w:r>
              <w:rPr>
                <w:rFonts w:ascii="Times New Roman" w:eastAsia="宋体" w:hAnsi="宋体"/>
                <w:kern w:val="2"/>
                <w:szCs w:val="24"/>
              </w:rPr>
              <w:t>40</w:t>
            </w:r>
          </w:p>
        </w:tc>
        <w:tc>
          <w:tcPr>
            <w:tcW w:w="1715" w:type="dxa"/>
            <w:vAlign w:val="center"/>
          </w:tcPr>
          <w:p w14:paraId="63493A6C" w14:textId="77777777" w:rsidR="00B43218" w:rsidRDefault="00B43218" w:rsidP="00151D6F">
            <w:pPr>
              <w:pStyle w:val="ad"/>
              <w:spacing w:beforeLines="0" w:afterLines="0"/>
              <w:jc w:val="center"/>
              <w:outlineLvl w:val="9"/>
              <w:rPr>
                <w:rFonts w:ascii="Times New Roman" w:eastAsia="宋体" w:hAnsi="宋体"/>
                <w:kern w:val="2"/>
                <w:szCs w:val="24"/>
              </w:rPr>
            </w:pPr>
          </w:p>
        </w:tc>
      </w:tr>
      <w:tr w:rsidR="00B43218" w14:paraId="4C55CC05" w14:textId="77777777" w:rsidTr="00151D6F">
        <w:tc>
          <w:tcPr>
            <w:tcW w:w="1246" w:type="dxa"/>
            <w:vAlign w:val="center"/>
          </w:tcPr>
          <w:p w14:paraId="121C6D38" w14:textId="77777777" w:rsidR="00B43218" w:rsidRDefault="00B43218" w:rsidP="00151D6F">
            <w:pPr>
              <w:pStyle w:val="ad"/>
              <w:spacing w:beforeLines="0" w:afterLines="0"/>
              <w:jc w:val="center"/>
              <w:outlineLvl w:val="9"/>
              <w:rPr>
                <w:rFonts w:ascii="Times New Roman" w:eastAsia="宋体" w:hAnsi="宋体" w:hint="eastAsia"/>
                <w:kern w:val="2"/>
                <w:szCs w:val="24"/>
              </w:rPr>
            </w:pPr>
            <w:r>
              <w:rPr>
                <w:rFonts w:ascii="Times New Roman" w:eastAsia="宋体" w:hAnsi="宋体" w:hint="eastAsia"/>
                <w:kern w:val="2"/>
                <w:szCs w:val="24"/>
              </w:rPr>
              <w:t>7</w:t>
            </w:r>
          </w:p>
        </w:tc>
        <w:tc>
          <w:tcPr>
            <w:tcW w:w="849" w:type="dxa"/>
            <w:vMerge w:val="restart"/>
            <w:vAlign w:val="center"/>
          </w:tcPr>
          <w:p w14:paraId="6796B64A"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核心指标</w:t>
            </w:r>
          </w:p>
        </w:tc>
        <w:tc>
          <w:tcPr>
            <w:tcW w:w="1247" w:type="dxa"/>
            <w:vAlign w:val="center"/>
          </w:tcPr>
          <w:p w14:paraId="1BDC1086" w14:textId="77777777" w:rsidR="00B43218" w:rsidRDefault="00B43218" w:rsidP="00151D6F">
            <w:pPr>
              <w:pStyle w:val="ad"/>
              <w:spacing w:beforeLines="0" w:afterLines="0"/>
              <w:jc w:val="center"/>
              <w:outlineLvl w:val="9"/>
              <w:rPr>
                <w:rFonts w:ascii="Times New Roman" w:eastAsia="宋体" w:hAnsi="宋体" w:hint="eastAsia"/>
                <w:kern w:val="2"/>
                <w:szCs w:val="24"/>
              </w:rPr>
            </w:pPr>
            <w:r>
              <w:rPr>
                <w:rFonts w:ascii="Times New Roman" w:eastAsia="宋体" w:hAnsi="宋体" w:hint="eastAsia"/>
                <w:kern w:val="2"/>
                <w:szCs w:val="24"/>
              </w:rPr>
              <w:t>能效</w:t>
            </w:r>
          </w:p>
        </w:tc>
        <w:tc>
          <w:tcPr>
            <w:tcW w:w="1245" w:type="dxa"/>
            <w:vAlign w:val="center"/>
          </w:tcPr>
          <w:p w14:paraId="64729DC6"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1245" w:type="dxa"/>
            <w:vAlign w:val="center"/>
          </w:tcPr>
          <w:p w14:paraId="1C1B9E82"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80</w:t>
            </w:r>
          </w:p>
        </w:tc>
        <w:tc>
          <w:tcPr>
            <w:tcW w:w="1245" w:type="dxa"/>
            <w:vAlign w:val="center"/>
          </w:tcPr>
          <w:p w14:paraId="6A9C9214"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85</w:t>
            </w:r>
          </w:p>
        </w:tc>
        <w:tc>
          <w:tcPr>
            <w:tcW w:w="1247" w:type="dxa"/>
            <w:vAlign w:val="center"/>
          </w:tcPr>
          <w:p w14:paraId="139CF398"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90</w:t>
            </w:r>
          </w:p>
        </w:tc>
        <w:tc>
          <w:tcPr>
            <w:tcW w:w="1715" w:type="dxa"/>
            <w:vAlign w:val="center"/>
          </w:tcPr>
          <w:p w14:paraId="0739B808" w14:textId="77777777" w:rsidR="00B43218" w:rsidRDefault="00B43218" w:rsidP="00151D6F">
            <w:pPr>
              <w:pStyle w:val="ad"/>
              <w:spacing w:beforeLines="0" w:afterLines="0"/>
              <w:jc w:val="center"/>
              <w:outlineLvl w:val="9"/>
              <w:rPr>
                <w:rFonts w:ascii="Times New Roman" w:eastAsia="宋体" w:hAnsi="宋体"/>
                <w:kern w:val="2"/>
                <w:szCs w:val="24"/>
              </w:rPr>
            </w:pPr>
          </w:p>
        </w:tc>
      </w:tr>
      <w:tr w:rsidR="00B43218" w14:paraId="35CC5EDE" w14:textId="77777777" w:rsidTr="00151D6F">
        <w:tc>
          <w:tcPr>
            <w:tcW w:w="1246" w:type="dxa"/>
            <w:vAlign w:val="center"/>
          </w:tcPr>
          <w:p w14:paraId="1280AFBD" w14:textId="77777777" w:rsidR="00B43218" w:rsidRDefault="00B43218" w:rsidP="00151D6F">
            <w:pPr>
              <w:pStyle w:val="ad"/>
              <w:spacing w:beforeLines="0" w:afterLines="0"/>
              <w:jc w:val="center"/>
              <w:outlineLvl w:val="9"/>
              <w:rPr>
                <w:rFonts w:ascii="Times New Roman" w:eastAsia="宋体" w:hAnsi="宋体" w:hint="eastAsia"/>
                <w:kern w:val="2"/>
                <w:szCs w:val="24"/>
              </w:rPr>
            </w:pPr>
            <w:r>
              <w:rPr>
                <w:rFonts w:ascii="Times New Roman" w:eastAsia="宋体" w:hAnsi="宋体" w:hint="eastAsia"/>
                <w:kern w:val="2"/>
                <w:szCs w:val="24"/>
              </w:rPr>
              <w:t>8</w:t>
            </w:r>
          </w:p>
        </w:tc>
        <w:tc>
          <w:tcPr>
            <w:tcW w:w="849" w:type="dxa"/>
            <w:vMerge/>
            <w:vAlign w:val="center"/>
          </w:tcPr>
          <w:p w14:paraId="6DE2A9EB"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1247" w:type="dxa"/>
            <w:vAlign w:val="center"/>
          </w:tcPr>
          <w:p w14:paraId="2B9D886B" w14:textId="77777777" w:rsidR="00B43218" w:rsidRDefault="00B43218" w:rsidP="00151D6F">
            <w:pPr>
              <w:pStyle w:val="ad"/>
              <w:spacing w:beforeLines="0" w:afterLines="0"/>
              <w:jc w:val="center"/>
              <w:outlineLvl w:val="9"/>
              <w:rPr>
                <w:rFonts w:ascii="Times New Roman" w:eastAsia="宋体" w:hAnsi="宋体" w:hint="eastAsia"/>
                <w:kern w:val="2"/>
                <w:szCs w:val="24"/>
              </w:rPr>
            </w:pPr>
            <w:r>
              <w:rPr>
                <w:rFonts w:ascii="Times New Roman" w:eastAsia="宋体" w:hAnsi="宋体" w:hint="eastAsia"/>
                <w:kern w:val="2"/>
                <w:szCs w:val="24"/>
              </w:rPr>
              <w:t>眩光</w:t>
            </w:r>
          </w:p>
        </w:tc>
        <w:tc>
          <w:tcPr>
            <w:tcW w:w="1245" w:type="dxa"/>
            <w:vAlign w:val="center"/>
          </w:tcPr>
          <w:p w14:paraId="55874803"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1245" w:type="dxa"/>
            <w:vAlign w:val="center"/>
          </w:tcPr>
          <w:p w14:paraId="41E27E72"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19</w:t>
            </w:r>
          </w:p>
        </w:tc>
        <w:tc>
          <w:tcPr>
            <w:tcW w:w="1245" w:type="dxa"/>
            <w:vAlign w:val="center"/>
          </w:tcPr>
          <w:p w14:paraId="2919AFB6"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16</w:t>
            </w:r>
          </w:p>
        </w:tc>
        <w:tc>
          <w:tcPr>
            <w:tcW w:w="1247" w:type="dxa"/>
            <w:vAlign w:val="center"/>
          </w:tcPr>
          <w:p w14:paraId="597699DB"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16</w:t>
            </w:r>
          </w:p>
        </w:tc>
        <w:tc>
          <w:tcPr>
            <w:tcW w:w="1715" w:type="dxa"/>
            <w:vAlign w:val="center"/>
          </w:tcPr>
          <w:p w14:paraId="35F93E00" w14:textId="77777777" w:rsidR="00B43218" w:rsidRDefault="00B43218" w:rsidP="00151D6F">
            <w:pPr>
              <w:pStyle w:val="ad"/>
              <w:spacing w:beforeLines="0" w:afterLines="0"/>
              <w:jc w:val="center"/>
              <w:outlineLvl w:val="9"/>
              <w:rPr>
                <w:rFonts w:ascii="Times New Roman" w:eastAsia="宋体" w:hAnsi="宋体"/>
                <w:kern w:val="2"/>
                <w:szCs w:val="24"/>
              </w:rPr>
            </w:pPr>
          </w:p>
        </w:tc>
      </w:tr>
      <w:tr w:rsidR="00B43218" w14:paraId="68B2656A" w14:textId="77777777" w:rsidTr="00151D6F">
        <w:tc>
          <w:tcPr>
            <w:tcW w:w="1246" w:type="dxa"/>
            <w:vAlign w:val="center"/>
          </w:tcPr>
          <w:p w14:paraId="7C602E75" w14:textId="77777777" w:rsidR="00B43218" w:rsidRDefault="00B43218" w:rsidP="00151D6F">
            <w:pPr>
              <w:pStyle w:val="ad"/>
              <w:spacing w:beforeLines="0" w:afterLines="0"/>
              <w:jc w:val="center"/>
              <w:outlineLvl w:val="9"/>
              <w:rPr>
                <w:rFonts w:ascii="Times New Roman" w:eastAsia="宋体" w:hAnsi="宋体" w:hint="eastAsia"/>
                <w:kern w:val="2"/>
                <w:szCs w:val="24"/>
              </w:rPr>
            </w:pPr>
            <w:r>
              <w:rPr>
                <w:rFonts w:ascii="Times New Roman" w:eastAsia="宋体" w:hAnsi="宋体" w:hint="eastAsia"/>
                <w:kern w:val="2"/>
                <w:szCs w:val="24"/>
              </w:rPr>
              <w:t>9</w:t>
            </w:r>
          </w:p>
        </w:tc>
        <w:tc>
          <w:tcPr>
            <w:tcW w:w="849" w:type="dxa"/>
            <w:vMerge/>
            <w:vAlign w:val="center"/>
          </w:tcPr>
          <w:p w14:paraId="10E3271B"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1247" w:type="dxa"/>
            <w:vAlign w:val="center"/>
          </w:tcPr>
          <w:p w14:paraId="75600029" w14:textId="77777777" w:rsidR="00B43218" w:rsidRDefault="00B43218" w:rsidP="00151D6F">
            <w:pPr>
              <w:pStyle w:val="ad"/>
              <w:spacing w:beforeLines="0" w:afterLines="0"/>
              <w:jc w:val="center"/>
              <w:outlineLvl w:val="9"/>
              <w:rPr>
                <w:rFonts w:ascii="Times New Roman" w:eastAsia="宋体" w:hAnsi="宋体" w:hint="eastAsia"/>
                <w:kern w:val="2"/>
                <w:szCs w:val="24"/>
              </w:rPr>
            </w:pPr>
            <w:r>
              <w:rPr>
                <w:rFonts w:ascii="Times New Roman" w:eastAsia="宋体" w:hAnsi="宋体" w:hint="eastAsia"/>
                <w:kern w:val="2"/>
                <w:szCs w:val="24"/>
              </w:rPr>
              <w:t>SVM</w:t>
            </w:r>
          </w:p>
        </w:tc>
        <w:tc>
          <w:tcPr>
            <w:tcW w:w="1245" w:type="dxa"/>
            <w:vAlign w:val="center"/>
          </w:tcPr>
          <w:p w14:paraId="7EF31E6D"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1245" w:type="dxa"/>
            <w:vAlign w:val="center"/>
          </w:tcPr>
          <w:p w14:paraId="4FE32D6A"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1.6</w:t>
            </w:r>
          </w:p>
        </w:tc>
        <w:tc>
          <w:tcPr>
            <w:tcW w:w="1245" w:type="dxa"/>
            <w:vAlign w:val="center"/>
          </w:tcPr>
          <w:p w14:paraId="5952120C"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1.0</w:t>
            </w:r>
          </w:p>
        </w:tc>
        <w:tc>
          <w:tcPr>
            <w:tcW w:w="1247" w:type="dxa"/>
            <w:vAlign w:val="center"/>
          </w:tcPr>
          <w:p w14:paraId="3C8B4EB2"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0.4</w:t>
            </w:r>
          </w:p>
        </w:tc>
        <w:tc>
          <w:tcPr>
            <w:tcW w:w="1715" w:type="dxa"/>
            <w:vAlign w:val="center"/>
          </w:tcPr>
          <w:p w14:paraId="4756D190" w14:textId="77777777" w:rsidR="00B43218" w:rsidRDefault="00B43218" w:rsidP="00151D6F">
            <w:pPr>
              <w:pStyle w:val="ad"/>
              <w:spacing w:beforeLines="0" w:afterLines="0"/>
              <w:jc w:val="center"/>
              <w:outlineLvl w:val="9"/>
              <w:rPr>
                <w:rFonts w:ascii="Times New Roman" w:eastAsia="宋体" w:hAnsi="宋体"/>
                <w:kern w:val="2"/>
                <w:szCs w:val="24"/>
              </w:rPr>
            </w:pPr>
          </w:p>
        </w:tc>
      </w:tr>
      <w:tr w:rsidR="00B43218" w14:paraId="29E88621" w14:textId="77777777" w:rsidTr="00151D6F">
        <w:tc>
          <w:tcPr>
            <w:tcW w:w="1246" w:type="dxa"/>
            <w:vAlign w:val="center"/>
          </w:tcPr>
          <w:p w14:paraId="1EE98720" w14:textId="77777777" w:rsidR="00B43218" w:rsidRDefault="00B43218" w:rsidP="00151D6F">
            <w:pPr>
              <w:pStyle w:val="ad"/>
              <w:spacing w:beforeLines="0" w:afterLines="0"/>
              <w:jc w:val="center"/>
              <w:outlineLvl w:val="9"/>
              <w:rPr>
                <w:rFonts w:ascii="Times New Roman" w:eastAsia="宋体" w:hAnsi="宋体" w:hint="eastAsia"/>
                <w:kern w:val="2"/>
                <w:szCs w:val="24"/>
              </w:rPr>
            </w:pPr>
            <w:r>
              <w:rPr>
                <w:rFonts w:ascii="Times New Roman" w:eastAsia="宋体" w:hAnsi="宋体" w:hint="eastAsia"/>
                <w:kern w:val="2"/>
                <w:szCs w:val="24"/>
              </w:rPr>
              <w:t>10</w:t>
            </w:r>
          </w:p>
        </w:tc>
        <w:tc>
          <w:tcPr>
            <w:tcW w:w="849" w:type="dxa"/>
            <w:vMerge/>
            <w:vAlign w:val="center"/>
          </w:tcPr>
          <w:p w14:paraId="7FF19483"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1247" w:type="dxa"/>
            <w:vAlign w:val="center"/>
          </w:tcPr>
          <w:p w14:paraId="71DB6723" w14:textId="77777777" w:rsidR="00B43218" w:rsidRDefault="00B43218" w:rsidP="00151D6F">
            <w:pPr>
              <w:pStyle w:val="ad"/>
              <w:spacing w:beforeLines="0" w:afterLines="0"/>
              <w:jc w:val="center"/>
              <w:outlineLvl w:val="9"/>
              <w:rPr>
                <w:rFonts w:ascii="Times New Roman" w:eastAsia="宋体" w:hAnsi="宋体" w:hint="eastAsia"/>
                <w:kern w:val="2"/>
                <w:szCs w:val="24"/>
              </w:rPr>
            </w:pPr>
            <w:proofErr w:type="gramStart"/>
            <w:r>
              <w:rPr>
                <w:rFonts w:ascii="Times New Roman" w:eastAsia="宋体" w:hAnsi="宋体" w:hint="eastAsia"/>
                <w:kern w:val="2"/>
                <w:szCs w:val="24"/>
              </w:rPr>
              <w:t>色域指数</w:t>
            </w:r>
            <w:proofErr w:type="gramEnd"/>
          </w:p>
        </w:tc>
        <w:tc>
          <w:tcPr>
            <w:tcW w:w="1245" w:type="dxa"/>
            <w:vAlign w:val="center"/>
          </w:tcPr>
          <w:p w14:paraId="0910AC2B"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1245" w:type="dxa"/>
            <w:vAlign w:val="center"/>
          </w:tcPr>
          <w:p w14:paraId="5FA9AA3D"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80</w:t>
            </w:r>
          </w:p>
        </w:tc>
        <w:tc>
          <w:tcPr>
            <w:tcW w:w="1245" w:type="dxa"/>
            <w:vAlign w:val="center"/>
          </w:tcPr>
          <w:p w14:paraId="0AF4BDFB"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90</w:t>
            </w:r>
          </w:p>
        </w:tc>
        <w:tc>
          <w:tcPr>
            <w:tcW w:w="1247" w:type="dxa"/>
            <w:vAlign w:val="center"/>
          </w:tcPr>
          <w:p w14:paraId="6A28F529"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100</w:t>
            </w:r>
          </w:p>
        </w:tc>
        <w:tc>
          <w:tcPr>
            <w:tcW w:w="1715" w:type="dxa"/>
            <w:vAlign w:val="center"/>
          </w:tcPr>
          <w:p w14:paraId="405221D4" w14:textId="77777777" w:rsidR="00B43218" w:rsidRDefault="00B43218" w:rsidP="00151D6F">
            <w:pPr>
              <w:pStyle w:val="ad"/>
              <w:spacing w:beforeLines="0" w:afterLines="0"/>
              <w:jc w:val="center"/>
              <w:outlineLvl w:val="9"/>
              <w:rPr>
                <w:rFonts w:ascii="Times New Roman" w:eastAsia="宋体" w:hAnsi="宋体"/>
                <w:kern w:val="2"/>
                <w:szCs w:val="24"/>
              </w:rPr>
            </w:pPr>
          </w:p>
        </w:tc>
      </w:tr>
      <w:tr w:rsidR="00B43218" w14:paraId="7F5A4D09" w14:textId="77777777" w:rsidTr="00151D6F">
        <w:tc>
          <w:tcPr>
            <w:tcW w:w="1246" w:type="dxa"/>
            <w:vAlign w:val="center"/>
          </w:tcPr>
          <w:p w14:paraId="586E57BC" w14:textId="77777777" w:rsidR="00B43218" w:rsidRDefault="00B43218" w:rsidP="00151D6F">
            <w:pPr>
              <w:pStyle w:val="ad"/>
              <w:spacing w:beforeLines="0" w:afterLines="0"/>
              <w:jc w:val="center"/>
              <w:outlineLvl w:val="9"/>
              <w:rPr>
                <w:rFonts w:ascii="Times New Roman" w:eastAsia="宋体" w:hAnsi="宋体" w:hint="eastAsia"/>
                <w:kern w:val="2"/>
                <w:szCs w:val="24"/>
              </w:rPr>
            </w:pPr>
            <w:r>
              <w:rPr>
                <w:rFonts w:ascii="Times New Roman" w:eastAsia="宋体" w:hAnsi="宋体" w:hint="eastAsia"/>
                <w:kern w:val="2"/>
                <w:szCs w:val="24"/>
              </w:rPr>
              <w:t>11</w:t>
            </w:r>
          </w:p>
        </w:tc>
        <w:tc>
          <w:tcPr>
            <w:tcW w:w="849" w:type="dxa"/>
            <w:vMerge/>
            <w:vAlign w:val="center"/>
          </w:tcPr>
          <w:p w14:paraId="1C28A689"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1247" w:type="dxa"/>
            <w:vAlign w:val="center"/>
          </w:tcPr>
          <w:p w14:paraId="5E898413" w14:textId="77777777" w:rsidR="00B43218" w:rsidRDefault="00B43218" w:rsidP="00151D6F">
            <w:pPr>
              <w:pStyle w:val="ad"/>
              <w:spacing w:beforeLines="0" w:afterLines="0"/>
              <w:jc w:val="center"/>
              <w:outlineLvl w:val="9"/>
              <w:rPr>
                <w:rFonts w:ascii="Times New Roman" w:eastAsia="宋体" w:hAnsi="宋体" w:hint="eastAsia"/>
                <w:kern w:val="2"/>
                <w:szCs w:val="24"/>
              </w:rPr>
            </w:pPr>
            <w:r>
              <w:rPr>
                <w:rFonts w:ascii="Times New Roman" w:eastAsia="宋体" w:hAnsi="宋体" w:hint="eastAsia"/>
                <w:kern w:val="2"/>
                <w:szCs w:val="24"/>
              </w:rPr>
              <w:t>谐波</w:t>
            </w:r>
            <w:r>
              <w:rPr>
                <w:rFonts w:ascii="Times New Roman" w:eastAsia="宋体" w:hAnsi="宋体" w:hint="eastAsia"/>
                <w:kern w:val="2"/>
                <w:szCs w:val="24"/>
              </w:rPr>
              <w:t>THD</w:t>
            </w:r>
          </w:p>
        </w:tc>
        <w:tc>
          <w:tcPr>
            <w:tcW w:w="1245" w:type="dxa"/>
            <w:vAlign w:val="center"/>
          </w:tcPr>
          <w:p w14:paraId="5C9CB07B"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1245" w:type="dxa"/>
            <w:vAlign w:val="center"/>
          </w:tcPr>
          <w:p w14:paraId="022B47E3"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20%</w:t>
            </w:r>
          </w:p>
        </w:tc>
        <w:tc>
          <w:tcPr>
            <w:tcW w:w="1245" w:type="dxa"/>
            <w:vAlign w:val="center"/>
          </w:tcPr>
          <w:p w14:paraId="517183D7"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15%</w:t>
            </w:r>
          </w:p>
        </w:tc>
        <w:tc>
          <w:tcPr>
            <w:tcW w:w="1247" w:type="dxa"/>
            <w:vAlign w:val="center"/>
          </w:tcPr>
          <w:p w14:paraId="0ADBA7AD"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10%</w:t>
            </w:r>
          </w:p>
        </w:tc>
        <w:tc>
          <w:tcPr>
            <w:tcW w:w="1715" w:type="dxa"/>
            <w:vAlign w:val="center"/>
          </w:tcPr>
          <w:p w14:paraId="27BC56CA" w14:textId="77777777" w:rsidR="00B43218" w:rsidRDefault="00B43218" w:rsidP="00151D6F">
            <w:pPr>
              <w:pStyle w:val="ad"/>
              <w:spacing w:beforeLines="0" w:afterLines="0"/>
              <w:jc w:val="center"/>
              <w:outlineLvl w:val="9"/>
              <w:rPr>
                <w:rFonts w:ascii="Times New Roman" w:eastAsia="宋体" w:hAnsi="宋体"/>
                <w:kern w:val="2"/>
                <w:szCs w:val="24"/>
              </w:rPr>
            </w:pPr>
          </w:p>
        </w:tc>
      </w:tr>
      <w:tr w:rsidR="00B43218" w14:paraId="767584AA" w14:textId="77777777" w:rsidTr="00151D6F">
        <w:tc>
          <w:tcPr>
            <w:tcW w:w="1246" w:type="dxa"/>
            <w:vAlign w:val="center"/>
          </w:tcPr>
          <w:p w14:paraId="464A4150" w14:textId="77777777" w:rsidR="00B43218" w:rsidRDefault="00B43218" w:rsidP="00151D6F">
            <w:pPr>
              <w:pStyle w:val="ad"/>
              <w:spacing w:beforeLines="0" w:afterLines="0"/>
              <w:jc w:val="center"/>
              <w:outlineLvl w:val="9"/>
              <w:rPr>
                <w:rFonts w:ascii="Times New Roman" w:eastAsia="宋体" w:hAnsi="宋体" w:hint="eastAsia"/>
                <w:kern w:val="2"/>
                <w:szCs w:val="24"/>
              </w:rPr>
            </w:pPr>
            <w:r>
              <w:rPr>
                <w:rFonts w:ascii="Times New Roman" w:eastAsia="宋体" w:hAnsi="宋体" w:hint="eastAsia"/>
                <w:kern w:val="2"/>
                <w:szCs w:val="24"/>
              </w:rPr>
              <w:t>12</w:t>
            </w:r>
          </w:p>
        </w:tc>
        <w:tc>
          <w:tcPr>
            <w:tcW w:w="849" w:type="dxa"/>
            <w:vMerge/>
            <w:vAlign w:val="center"/>
          </w:tcPr>
          <w:p w14:paraId="29B87B65"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1247" w:type="dxa"/>
            <w:vAlign w:val="center"/>
          </w:tcPr>
          <w:p w14:paraId="2562A9A9" w14:textId="77777777" w:rsidR="00B43218" w:rsidRDefault="00B43218" w:rsidP="00151D6F">
            <w:pPr>
              <w:pStyle w:val="ad"/>
              <w:spacing w:beforeLines="0" w:afterLines="0"/>
              <w:jc w:val="center"/>
              <w:outlineLvl w:val="9"/>
              <w:rPr>
                <w:rFonts w:ascii="Times New Roman" w:eastAsia="宋体" w:hAnsi="宋体" w:hint="eastAsia"/>
                <w:kern w:val="2"/>
                <w:szCs w:val="24"/>
              </w:rPr>
            </w:pPr>
            <w:r>
              <w:rPr>
                <w:rFonts w:ascii="Times New Roman" w:eastAsia="宋体" w:hAnsi="宋体" w:hint="eastAsia"/>
                <w:kern w:val="2"/>
                <w:szCs w:val="24"/>
              </w:rPr>
              <w:t>色容差</w:t>
            </w:r>
          </w:p>
        </w:tc>
        <w:tc>
          <w:tcPr>
            <w:tcW w:w="1245" w:type="dxa"/>
            <w:vAlign w:val="center"/>
          </w:tcPr>
          <w:p w14:paraId="5513754F"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1245" w:type="dxa"/>
            <w:vAlign w:val="center"/>
          </w:tcPr>
          <w:p w14:paraId="66884B63"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宋体" w:eastAsia="宋体" w:hAnsi="宋体" w:hint="eastAsia"/>
                <w:kern w:val="2"/>
                <w:szCs w:val="24"/>
              </w:rPr>
              <w:t>≤</w:t>
            </w:r>
            <w:r>
              <w:rPr>
                <w:rFonts w:ascii="Times New Roman" w:eastAsia="宋体" w:hAnsi="宋体" w:hint="eastAsia"/>
                <w:kern w:val="2"/>
                <w:szCs w:val="24"/>
              </w:rPr>
              <w:t>5</w:t>
            </w:r>
          </w:p>
        </w:tc>
        <w:tc>
          <w:tcPr>
            <w:tcW w:w="1245" w:type="dxa"/>
            <w:vAlign w:val="center"/>
          </w:tcPr>
          <w:p w14:paraId="15C10031"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宋体" w:eastAsia="宋体" w:hAnsi="宋体" w:hint="eastAsia"/>
                <w:kern w:val="2"/>
                <w:szCs w:val="24"/>
              </w:rPr>
              <w:t>≤</w:t>
            </w:r>
            <w:r>
              <w:rPr>
                <w:rFonts w:ascii="Times New Roman" w:eastAsia="宋体" w:hAnsi="宋体"/>
                <w:kern w:val="2"/>
                <w:szCs w:val="24"/>
              </w:rPr>
              <w:t>4</w:t>
            </w:r>
          </w:p>
        </w:tc>
        <w:tc>
          <w:tcPr>
            <w:tcW w:w="1247" w:type="dxa"/>
            <w:vAlign w:val="center"/>
          </w:tcPr>
          <w:p w14:paraId="28310882"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宋体" w:eastAsia="宋体" w:hAnsi="宋体" w:hint="eastAsia"/>
                <w:kern w:val="2"/>
                <w:szCs w:val="24"/>
              </w:rPr>
              <w:t>≤</w:t>
            </w:r>
            <w:r>
              <w:rPr>
                <w:rFonts w:ascii="Times New Roman" w:eastAsia="宋体" w:hAnsi="宋体"/>
                <w:kern w:val="2"/>
                <w:szCs w:val="24"/>
              </w:rPr>
              <w:t>3</w:t>
            </w:r>
          </w:p>
        </w:tc>
        <w:tc>
          <w:tcPr>
            <w:tcW w:w="1715" w:type="dxa"/>
            <w:vAlign w:val="center"/>
          </w:tcPr>
          <w:p w14:paraId="7C20193F" w14:textId="77777777" w:rsidR="00B43218" w:rsidRDefault="00B43218" w:rsidP="00151D6F">
            <w:pPr>
              <w:pStyle w:val="ad"/>
              <w:spacing w:beforeLines="0" w:afterLines="0"/>
              <w:jc w:val="center"/>
              <w:outlineLvl w:val="9"/>
              <w:rPr>
                <w:rFonts w:ascii="Times New Roman" w:eastAsia="宋体" w:hAnsi="宋体"/>
                <w:kern w:val="2"/>
                <w:szCs w:val="24"/>
              </w:rPr>
            </w:pPr>
          </w:p>
        </w:tc>
      </w:tr>
      <w:tr w:rsidR="00B43218" w14:paraId="6130C55E" w14:textId="77777777" w:rsidTr="00151D6F">
        <w:tc>
          <w:tcPr>
            <w:tcW w:w="1246" w:type="dxa"/>
            <w:vAlign w:val="center"/>
          </w:tcPr>
          <w:p w14:paraId="156F547D" w14:textId="77777777" w:rsidR="00B43218" w:rsidRDefault="00B43218" w:rsidP="00151D6F">
            <w:pPr>
              <w:pStyle w:val="ad"/>
              <w:spacing w:beforeLines="0" w:afterLines="0"/>
              <w:jc w:val="center"/>
              <w:outlineLvl w:val="9"/>
              <w:rPr>
                <w:rFonts w:ascii="Times New Roman" w:eastAsia="宋体" w:hAnsi="宋体" w:hint="eastAsia"/>
                <w:kern w:val="2"/>
                <w:szCs w:val="24"/>
              </w:rPr>
            </w:pPr>
            <w:r>
              <w:rPr>
                <w:rFonts w:ascii="Times New Roman" w:eastAsia="宋体" w:hAnsi="宋体" w:hint="eastAsia"/>
                <w:kern w:val="2"/>
                <w:szCs w:val="24"/>
              </w:rPr>
              <w:t>13</w:t>
            </w:r>
          </w:p>
        </w:tc>
        <w:tc>
          <w:tcPr>
            <w:tcW w:w="849" w:type="dxa"/>
            <w:vMerge/>
            <w:vAlign w:val="center"/>
          </w:tcPr>
          <w:p w14:paraId="6B08F415"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1247" w:type="dxa"/>
            <w:vAlign w:val="center"/>
          </w:tcPr>
          <w:p w14:paraId="5188BE11" w14:textId="77777777" w:rsidR="00B43218" w:rsidRDefault="00B43218" w:rsidP="00151D6F">
            <w:pPr>
              <w:pStyle w:val="ad"/>
              <w:spacing w:beforeLines="0" w:afterLines="0"/>
              <w:jc w:val="center"/>
              <w:outlineLvl w:val="9"/>
              <w:rPr>
                <w:rFonts w:ascii="Times New Roman" w:eastAsia="宋体" w:hAnsi="宋体" w:hint="eastAsia"/>
                <w:kern w:val="2"/>
                <w:szCs w:val="24"/>
              </w:rPr>
            </w:pPr>
            <w:r>
              <w:rPr>
                <w:rFonts w:ascii="Times New Roman" w:eastAsia="宋体" w:hAnsi="宋体" w:hint="eastAsia"/>
                <w:kern w:val="2"/>
                <w:szCs w:val="24"/>
              </w:rPr>
              <w:t>调光性能</w:t>
            </w:r>
          </w:p>
        </w:tc>
        <w:tc>
          <w:tcPr>
            <w:tcW w:w="1245" w:type="dxa"/>
            <w:vAlign w:val="center"/>
          </w:tcPr>
          <w:p w14:paraId="05F07682"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1245" w:type="dxa"/>
            <w:vAlign w:val="center"/>
          </w:tcPr>
          <w:p w14:paraId="74FF1504"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宋体" w:eastAsia="宋体" w:hAnsi="宋体" w:hint="eastAsia"/>
                <w:kern w:val="2"/>
                <w:szCs w:val="24"/>
              </w:rPr>
              <w:t>≤10%</w:t>
            </w:r>
          </w:p>
        </w:tc>
        <w:tc>
          <w:tcPr>
            <w:tcW w:w="1245" w:type="dxa"/>
            <w:vAlign w:val="center"/>
          </w:tcPr>
          <w:p w14:paraId="78D638B4"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宋体" w:eastAsia="宋体" w:hAnsi="宋体" w:hint="eastAsia"/>
                <w:kern w:val="2"/>
                <w:szCs w:val="24"/>
              </w:rPr>
              <w:t>≤</w:t>
            </w:r>
            <w:r>
              <w:rPr>
                <w:rFonts w:ascii="宋体" w:eastAsia="宋体" w:hAnsi="宋体"/>
                <w:kern w:val="2"/>
                <w:szCs w:val="24"/>
              </w:rPr>
              <w:t>5</w:t>
            </w:r>
            <w:r>
              <w:rPr>
                <w:rFonts w:ascii="宋体" w:eastAsia="宋体" w:hAnsi="宋体" w:hint="eastAsia"/>
                <w:kern w:val="2"/>
                <w:szCs w:val="24"/>
              </w:rPr>
              <w:t>%</w:t>
            </w:r>
          </w:p>
        </w:tc>
        <w:tc>
          <w:tcPr>
            <w:tcW w:w="1247" w:type="dxa"/>
            <w:vAlign w:val="center"/>
          </w:tcPr>
          <w:p w14:paraId="4D4A5424"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宋体" w:eastAsia="宋体" w:hAnsi="宋体" w:hint="eastAsia"/>
                <w:kern w:val="2"/>
                <w:szCs w:val="24"/>
              </w:rPr>
              <w:t>≤</w:t>
            </w:r>
            <w:r>
              <w:rPr>
                <w:rFonts w:ascii="宋体" w:eastAsia="宋体" w:hAnsi="宋体"/>
                <w:kern w:val="2"/>
                <w:szCs w:val="24"/>
              </w:rPr>
              <w:t>5</w:t>
            </w:r>
            <w:r>
              <w:rPr>
                <w:rFonts w:ascii="宋体" w:eastAsia="宋体" w:hAnsi="宋体" w:hint="eastAsia"/>
                <w:kern w:val="2"/>
                <w:szCs w:val="24"/>
              </w:rPr>
              <w:t>%</w:t>
            </w:r>
          </w:p>
        </w:tc>
        <w:tc>
          <w:tcPr>
            <w:tcW w:w="1715" w:type="dxa"/>
            <w:vAlign w:val="center"/>
          </w:tcPr>
          <w:p w14:paraId="378AC192" w14:textId="77777777" w:rsidR="00B43218" w:rsidRDefault="00B43218" w:rsidP="00151D6F">
            <w:pPr>
              <w:pStyle w:val="ad"/>
              <w:spacing w:beforeLines="0" w:afterLines="0"/>
              <w:jc w:val="center"/>
              <w:outlineLvl w:val="9"/>
              <w:rPr>
                <w:rFonts w:ascii="Times New Roman" w:eastAsia="宋体" w:hAnsi="宋体"/>
                <w:kern w:val="2"/>
                <w:szCs w:val="24"/>
              </w:rPr>
            </w:pPr>
          </w:p>
        </w:tc>
      </w:tr>
      <w:tr w:rsidR="00B43218" w14:paraId="527E0C1D" w14:textId="77777777" w:rsidTr="00151D6F">
        <w:tc>
          <w:tcPr>
            <w:tcW w:w="1246" w:type="dxa"/>
            <w:vAlign w:val="center"/>
          </w:tcPr>
          <w:p w14:paraId="2710A45B" w14:textId="77777777" w:rsidR="00B43218" w:rsidRDefault="00B43218" w:rsidP="00151D6F">
            <w:pPr>
              <w:pStyle w:val="ad"/>
              <w:spacing w:beforeLines="0" w:afterLines="0"/>
              <w:jc w:val="center"/>
              <w:outlineLvl w:val="9"/>
              <w:rPr>
                <w:rFonts w:ascii="Times New Roman" w:eastAsia="宋体" w:hAnsi="宋体" w:hint="eastAsia"/>
                <w:kern w:val="2"/>
                <w:szCs w:val="24"/>
              </w:rPr>
            </w:pPr>
            <w:r>
              <w:rPr>
                <w:rFonts w:ascii="Times New Roman" w:eastAsia="宋体" w:hAnsi="宋体" w:hint="eastAsia"/>
                <w:kern w:val="2"/>
                <w:szCs w:val="24"/>
              </w:rPr>
              <w:t>14</w:t>
            </w:r>
          </w:p>
        </w:tc>
        <w:tc>
          <w:tcPr>
            <w:tcW w:w="849" w:type="dxa"/>
            <w:vMerge w:val="restart"/>
            <w:vAlign w:val="center"/>
          </w:tcPr>
          <w:p w14:paraId="447DFE8A"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创新性指标</w:t>
            </w:r>
          </w:p>
        </w:tc>
        <w:tc>
          <w:tcPr>
            <w:tcW w:w="1247" w:type="dxa"/>
            <w:vAlign w:val="center"/>
          </w:tcPr>
          <w:p w14:paraId="309AD8EA" w14:textId="77777777" w:rsidR="00B43218" w:rsidRDefault="00B43218" w:rsidP="00151D6F">
            <w:pPr>
              <w:pStyle w:val="ad"/>
              <w:spacing w:beforeLines="0" w:afterLines="0"/>
              <w:jc w:val="center"/>
              <w:outlineLvl w:val="9"/>
              <w:rPr>
                <w:rFonts w:ascii="Times New Roman" w:eastAsia="宋体" w:hAnsi="宋体" w:hint="eastAsia"/>
                <w:kern w:val="2"/>
                <w:szCs w:val="24"/>
              </w:rPr>
            </w:pPr>
            <w:r>
              <w:rPr>
                <w:rFonts w:ascii="Times New Roman" w:eastAsia="宋体" w:hAnsi="宋体" w:hint="eastAsia"/>
                <w:kern w:val="2"/>
                <w:szCs w:val="24"/>
              </w:rPr>
              <w:t>健康照明</w:t>
            </w:r>
          </w:p>
        </w:tc>
        <w:tc>
          <w:tcPr>
            <w:tcW w:w="1245" w:type="dxa"/>
            <w:vAlign w:val="center"/>
          </w:tcPr>
          <w:p w14:paraId="3F80483F"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1245" w:type="dxa"/>
            <w:vAlign w:val="center"/>
          </w:tcPr>
          <w:p w14:paraId="37607E6A"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w:t>
            </w:r>
          </w:p>
        </w:tc>
        <w:tc>
          <w:tcPr>
            <w:tcW w:w="1245" w:type="dxa"/>
            <w:vAlign w:val="center"/>
          </w:tcPr>
          <w:p w14:paraId="0BDE8712"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可调光调色</w:t>
            </w:r>
          </w:p>
        </w:tc>
        <w:tc>
          <w:tcPr>
            <w:tcW w:w="1247" w:type="dxa"/>
            <w:vAlign w:val="center"/>
          </w:tcPr>
          <w:p w14:paraId="72F079DB"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可提供符合生理节律的照明</w:t>
            </w:r>
          </w:p>
        </w:tc>
        <w:tc>
          <w:tcPr>
            <w:tcW w:w="1715" w:type="dxa"/>
            <w:vAlign w:val="center"/>
          </w:tcPr>
          <w:p w14:paraId="0E7FA8DE" w14:textId="77777777" w:rsidR="00B43218" w:rsidRDefault="00B43218" w:rsidP="00151D6F">
            <w:pPr>
              <w:pStyle w:val="ad"/>
              <w:spacing w:beforeLines="0" w:afterLines="0"/>
              <w:jc w:val="center"/>
              <w:outlineLvl w:val="9"/>
              <w:rPr>
                <w:rFonts w:ascii="Times New Roman" w:eastAsia="宋体" w:hAnsi="宋体"/>
                <w:kern w:val="2"/>
                <w:szCs w:val="24"/>
              </w:rPr>
            </w:pPr>
          </w:p>
        </w:tc>
      </w:tr>
      <w:tr w:rsidR="00B43218" w14:paraId="6877305D" w14:textId="77777777" w:rsidTr="00151D6F">
        <w:tc>
          <w:tcPr>
            <w:tcW w:w="1246" w:type="dxa"/>
            <w:vAlign w:val="center"/>
          </w:tcPr>
          <w:p w14:paraId="48A3889B" w14:textId="77777777" w:rsidR="00B43218" w:rsidRDefault="00B43218" w:rsidP="00151D6F">
            <w:pPr>
              <w:pStyle w:val="ad"/>
              <w:spacing w:beforeLines="0" w:afterLines="0"/>
              <w:jc w:val="center"/>
              <w:outlineLvl w:val="9"/>
              <w:rPr>
                <w:rFonts w:ascii="Times New Roman" w:eastAsia="宋体" w:hAnsi="宋体" w:hint="eastAsia"/>
                <w:kern w:val="2"/>
                <w:szCs w:val="24"/>
              </w:rPr>
            </w:pPr>
            <w:r>
              <w:rPr>
                <w:rFonts w:ascii="Times New Roman" w:eastAsia="宋体" w:hAnsi="宋体" w:hint="eastAsia"/>
                <w:kern w:val="2"/>
                <w:szCs w:val="24"/>
              </w:rPr>
              <w:t>15</w:t>
            </w:r>
          </w:p>
        </w:tc>
        <w:tc>
          <w:tcPr>
            <w:tcW w:w="849" w:type="dxa"/>
            <w:vMerge/>
            <w:vAlign w:val="center"/>
          </w:tcPr>
          <w:p w14:paraId="44BC7481"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1247" w:type="dxa"/>
            <w:vAlign w:val="center"/>
          </w:tcPr>
          <w:p w14:paraId="0CCE5CAC" w14:textId="77777777" w:rsidR="00B43218" w:rsidRDefault="00B43218" w:rsidP="00151D6F">
            <w:pPr>
              <w:pStyle w:val="ad"/>
              <w:spacing w:beforeLines="0" w:afterLines="0"/>
              <w:jc w:val="center"/>
              <w:outlineLvl w:val="9"/>
              <w:rPr>
                <w:rFonts w:ascii="Times New Roman" w:eastAsia="宋体" w:hAnsi="宋体" w:hint="eastAsia"/>
                <w:kern w:val="2"/>
                <w:szCs w:val="24"/>
              </w:rPr>
            </w:pPr>
            <w:r>
              <w:rPr>
                <w:rFonts w:ascii="Times New Roman" w:eastAsia="宋体" w:hAnsi="宋体" w:hint="eastAsia"/>
                <w:kern w:val="2"/>
                <w:szCs w:val="24"/>
              </w:rPr>
              <w:t>智能化</w:t>
            </w:r>
          </w:p>
        </w:tc>
        <w:tc>
          <w:tcPr>
            <w:tcW w:w="1245" w:type="dxa"/>
            <w:vAlign w:val="center"/>
          </w:tcPr>
          <w:p w14:paraId="63C5E3DC"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1245" w:type="dxa"/>
            <w:vAlign w:val="center"/>
          </w:tcPr>
          <w:p w14:paraId="39C363A9"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w:t>
            </w:r>
          </w:p>
        </w:tc>
        <w:tc>
          <w:tcPr>
            <w:tcW w:w="1245" w:type="dxa"/>
            <w:vAlign w:val="center"/>
          </w:tcPr>
          <w:p w14:paraId="17D32416"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与窗帘联动</w:t>
            </w:r>
          </w:p>
        </w:tc>
        <w:tc>
          <w:tcPr>
            <w:tcW w:w="1247" w:type="dxa"/>
            <w:vAlign w:val="center"/>
          </w:tcPr>
          <w:p w14:paraId="1A1C23BB"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与窗帘、教学装置等联动</w:t>
            </w:r>
          </w:p>
        </w:tc>
        <w:tc>
          <w:tcPr>
            <w:tcW w:w="1715" w:type="dxa"/>
            <w:vAlign w:val="center"/>
          </w:tcPr>
          <w:p w14:paraId="44937834" w14:textId="77777777" w:rsidR="00B43218" w:rsidRDefault="00B43218" w:rsidP="00151D6F">
            <w:pPr>
              <w:pStyle w:val="ad"/>
              <w:spacing w:beforeLines="0" w:afterLines="0"/>
              <w:jc w:val="center"/>
              <w:outlineLvl w:val="9"/>
              <w:rPr>
                <w:rFonts w:ascii="Times New Roman" w:eastAsia="宋体" w:hAnsi="宋体"/>
                <w:kern w:val="2"/>
                <w:szCs w:val="24"/>
              </w:rPr>
            </w:pPr>
          </w:p>
        </w:tc>
      </w:tr>
    </w:tbl>
    <w:bookmarkEnd w:id="3"/>
    <w:p w14:paraId="3F8758F2" w14:textId="77777777" w:rsidR="00B43218" w:rsidRDefault="00B43218" w:rsidP="00B43218">
      <w:pPr>
        <w:pStyle w:val="ad"/>
        <w:spacing w:beforeLines="0" w:afterLines="0" w:line="400" w:lineRule="exact"/>
        <w:outlineLvl w:val="9"/>
        <w:rPr>
          <w:rFonts w:ascii="Times New Roman" w:eastAsia="宋体" w:hAnsi="宋体"/>
          <w:kern w:val="2"/>
          <w:szCs w:val="24"/>
        </w:rPr>
      </w:pPr>
      <w:r>
        <w:rPr>
          <w:rFonts w:ascii="Times New Roman" w:eastAsia="宋体" w:hAnsi="宋体" w:hint="eastAsia"/>
          <w:kern w:val="2"/>
          <w:szCs w:val="24"/>
        </w:rPr>
        <w:t xml:space="preserve">4.3.1 </w:t>
      </w:r>
      <w:r>
        <w:rPr>
          <w:rFonts w:ascii="Times New Roman" w:eastAsia="宋体" w:hAnsi="宋体" w:hint="eastAsia"/>
          <w:kern w:val="2"/>
          <w:szCs w:val="24"/>
        </w:rPr>
        <w:t>书写板灯具“领跑者”标准的评价指标体系框架见表</w:t>
      </w:r>
      <w:r>
        <w:rPr>
          <w:rFonts w:ascii="Times New Roman" w:eastAsia="宋体" w:hAnsi="宋体" w:hint="eastAsia"/>
          <w:kern w:val="2"/>
          <w:szCs w:val="24"/>
        </w:rPr>
        <w:t>1</w:t>
      </w:r>
      <w:r>
        <w:rPr>
          <w:rFonts w:ascii="Times New Roman" w:eastAsia="宋体" w:hAnsi="宋体" w:hint="eastAsia"/>
          <w:kern w:val="2"/>
          <w:szCs w:val="24"/>
        </w:rPr>
        <w:t>。</w:t>
      </w:r>
    </w:p>
    <w:p w14:paraId="466C0ABD" w14:textId="77777777" w:rsidR="00B43218" w:rsidRDefault="00B43218" w:rsidP="00B43218">
      <w:pPr>
        <w:pStyle w:val="ad"/>
        <w:spacing w:beforeLines="0" w:afterLines="0" w:line="400" w:lineRule="exact"/>
        <w:ind w:left="420"/>
        <w:jc w:val="center"/>
        <w:outlineLvl w:val="9"/>
        <w:rPr>
          <w:rFonts w:ascii="Times New Roman" w:eastAsia="宋体" w:hAnsi="宋体" w:hint="eastAsia"/>
          <w:kern w:val="2"/>
          <w:szCs w:val="24"/>
        </w:rPr>
      </w:pPr>
      <w:r>
        <w:rPr>
          <w:rFonts w:ascii="Times New Roman" w:eastAsia="宋体" w:hAnsi="宋体" w:hint="eastAsia"/>
          <w:kern w:val="2"/>
          <w:szCs w:val="24"/>
        </w:rPr>
        <w:t>表</w:t>
      </w:r>
      <w:r>
        <w:rPr>
          <w:rFonts w:ascii="Times New Roman" w:eastAsia="宋体" w:hAnsi="宋体" w:hint="eastAsia"/>
          <w:kern w:val="2"/>
          <w:szCs w:val="24"/>
        </w:rPr>
        <w:t xml:space="preserve">1 </w:t>
      </w:r>
      <w:r>
        <w:rPr>
          <w:rFonts w:ascii="Times New Roman" w:eastAsia="宋体" w:hAnsi="宋体" w:hint="eastAsia"/>
          <w:kern w:val="2"/>
          <w:szCs w:val="24"/>
        </w:rPr>
        <w:t>书写板灯具评价指标体系框架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6"/>
        <w:gridCol w:w="849"/>
        <w:gridCol w:w="1247"/>
        <w:gridCol w:w="1245"/>
        <w:gridCol w:w="1245"/>
        <w:gridCol w:w="1245"/>
        <w:gridCol w:w="1247"/>
        <w:gridCol w:w="1715"/>
      </w:tblGrid>
      <w:tr w:rsidR="00B43218" w14:paraId="4A66C06A" w14:textId="77777777" w:rsidTr="00151D6F">
        <w:tc>
          <w:tcPr>
            <w:tcW w:w="1246" w:type="dxa"/>
            <w:vMerge w:val="restart"/>
            <w:vAlign w:val="center"/>
          </w:tcPr>
          <w:p w14:paraId="39E4D1CC"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序号</w:t>
            </w:r>
          </w:p>
        </w:tc>
        <w:tc>
          <w:tcPr>
            <w:tcW w:w="849" w:type="dxa"/>
            <w:vMerge w:val="restart"/>
            <w:vAlign w:val="center"/>
          </w:tcPr>
          <w:p w14:paraId="1A51507C"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指标</w:t>
            </w:r>
          </w:p>
          <w:p w14:paraId="3C896290"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类型</w:t>
            </w:r>
          </w:p>
        </w:tc>
        <w:tc>
          <w:tcPr>
            <w:tcW w:w="1247" w:type="dxa"/>
            <w:vMerge w:val="restart"/>
            <w:vAlign w:val="center"/>
          </w:tcPr>
          <w:p w14:paraId="7D970D05"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评价指标</w:t>
            </w:r>
          </w:p>
        </w:tc>
        <w:tc>
          <w:tcPr>
            <w:tcW w:w="1245" w:type="dxa"/>
            <w:vMerge w:val="restart"/>
            <w:vAlign w:val="center"/>
          </w:tcPr>
          <w:p w14:paraId="26DB696F"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指标来源</w:t>
            </w:r>
          </w:p>
        </w:tc>
        <w:tc>
          <w:tcPr>
            <w:tcW w:w="3737" w:type="dxa"/>
            <w:gridSpan w:val="3"/>
            <w:vAlign w:val="center"/>
          </w:tcPr>
          <w:p w14:paraId="4A68A176"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指标水平分级</w:t>
            </w:r>
          </w:p>
        </w:tc>
        <w:tc>
          <w:tcPr>
            <w:tcW w:w="1715" w:type="dxa"/>
            <w:vMerge w:val="restart"/>
            <w:vAlign w:val="center"/>
          </w:tcPr>
          <w:p w14:paraId="2B07196A"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判断依据</w:t>
            </w:r>
            <w:r>
              <w:rPr>
                <w:rFonts w:ascii="Times New Roman" w:eastAsia="宋体" w:hAnsi="宋体" w:hint="eastAsia"/>
                <w:kern w:val="2"/>
                <w:szCs w:val="24"/>
              </w:rPr>
              <w:t>/</w:t>
            </w:r>
            <w:r>
              <w:rPr>
                <w:rFonts w:ascii="Times New Roman" w:eastAsia="宋体" w:hAnsi="宋体" w:hint="eastAsia"/>
                <w:kern w:val="2"/>
                <w:szCs w:val="24"/>
              </w:rPr>
              <w:t>方法</w:t>
            </w:r>
          </w:p>
        </w:tc>
      </w:tr>
      <w:tr w:rsidR="00B43218" w14:paraId="3FC8C486" w14:textId="77777777" w:rsidTr="00151D6F">
        <w:tc>
          <w:tcPr>
            <w:tcW w:w="1246" w:type="dxa"/>
            <w:vMerge/>
            <w:vAlign w:val="center"/>
          </w:tcPr>
          <w:p w14:paraId="62F0723B"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849" w:type="dxa"/>
            <w:vMerge/>
            <w:vAlign w:val="center"/>
          </w:tcPr>
          <w:p w14:paraId="3D5B2577"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1247" w:type="dxa"/>
            <w:vMerge/>
            <w:vAlign w:val="center"/>
          </w:tcPr>
          <w:p w14:paraId="6CB90C83"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1245" w:type="dxa"/>
            <w:vMerge/>
            <w:vAlign w:val="center"/>
          </w:tcPr>
          <w:p w14:paraId="1221E5F8"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1245" w:type="dxa"/>
            <w:vAlign w:val="center"/>
          </w:tcPr>
          <w:p w14:paraId="39800F9F"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基准水平</w:t>
            </w:r>
          </w:p>
        </w:tc>
        <w:tc>
          <w:tcPr>
            <w:tcW w:w="1245" w:type="dxa"/>
            <w:vAlign w:val="center"/>
          </w:tcPr>
          <w:p w14:paraId="00E406E8"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平均水平</w:t>
            </w:r>
          </w:p>
        </w:tc>
        <w:tc>
          <w:tcPr>
            <w:tcW w:w="1247" w:type="dxa"/>
            <w:vAlign w:val="center"/>
          </w:tcPr>
          <w:p w14:paraId="46E991FA"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先进水平</w:t>
            </w:r>
          </w:p>
        </w:tc>
        <w:tc>
          <w:tcPr>
            <w:tcW w:w="1715" w:type="dxa"/>
            <w:vMerge/>
            <w:vAlign w:val="center"/>
          </w:tcPr>
          <w:p w14:paraId="0991F74C" w14:textId="77777777" w:rsidR="00B43218" w:rsidRDefault="00B43218" w:rsidP="00151D6F">
            <w:pPr>
              <w:pStyle w:val="ad"/>
              <w:spacing w:beforeLines="0" w:afterLines="0"/>
              <w:jc w:val="center"/>
              <w:outlineLvl w:val="9"/>
              <w:rPr>
                <w:rFonts w:ascii="Times New Roman" w:eastAsia="宋体" w:hAnsi="宋体"/>
                <w:kern w:val="2"/>
                <w:szCs w:val="24"/>
              </w:rPr>
            </w:pPr>
          </w:p>
        </w:tc>
      </w:tr>
      <w:tr w:rsidR="00B43218" w14:paraId="0D28F022" w14:textId="77777777" w:rsidTr="00151D6F">
        <w:tc>
          <w:tcPr>
            <w:tcW w:w="1246" w:type="dxa"/>
            <w:vAlign w:val="center"/>
          </w:tcPr>
          <w:p w14:paraId="14281F13"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lastRenderedPageBreak/>
              <w:t>1</w:t>
            </w:r>
          </w:p>
        </w:tc>
        <w:tc>
          <w:tcPr>
            <w:tcW w:w="849" w:type="dxa"/>
            <w:vMerge w:val="restart"/>
            <w:vAlign w:val="center"/>
          </w:tcPr>
          <w:p w14:paraId="623CDFEF"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基础指标</w:t>
            </w:r>
          </w:p>
        </w:tc>
        <w:tc>
          <w:tcPr>
            <w:tcW w:w="1247" w:type="dxa"/>
            <w:vAlign w:val="center"/>
          </w:tcPr>
          <w:p w14:paraId="5467D154"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安全及电磁兼容</w:t>
            </w:r>
          </w:p>
        </w:tc>
        <w:tc>
          <w:tcPr>
            <w:tcW w:w="1245" w:type="dxa"/>
            <w:vAlign w:val="center"/>
          </w:tcPr>
          <w:p w14:paraId="2DD666DF"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GB 7000.1</w:t>
            </w:r>
          </w:p>
        </w:tc>
        <w:tc>
          <w:tcPr>
            <w:tcW w:w="3737" w:type="dxa"/>
            <w:gridSpan w:val="3"/>
            <w:vAlign w:val="center"/>
          </w:tcPr>
          <w:p w14:paraId="15354D4F"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符合标准要求</w:t>
            </w:r>
          </w:p>
        </w:tc>
        <w:tc>
          <w:tcPr>
            <w:tcW w:w="1715" w:type="dxa"/>
            <w:vAlign w:val="center"/>
          </w:tcPr>
          <w:p w14:paraId="38E39070"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kern w:val="2"/>
                <w:szCs w:val="24"/>
              </w:rPr>
              <w:t>GB 7000.1</w:t>
            </w:r>
            <w:r>
              <w:rPr>
                <w:rFonts w:ascii="Times New Roman" w:eastAsia="宋体" w:hAnsi="宋体"/>
                <w:kern w:val="2"/>
                <w:szCs w:val="24"/>
              </w:rPr>
              <w:t>、</w:t>
            </w:r>
            <w:r>
              <w:rPr>
                <w:rFonts w:ascii="Times New Roman" w:eastAsia="宋体"/>
                <w:kern w:val="2"/>
                <w:szCs w:val="24"/>
              </w:rPr>
              <w:t>GB 7000.201</w:t>
            </w:r>
            <w:r>
              <w:rPr>
                <w:rFonts w:ascii="Times New Roman" w:eastAsia="宋体" w:hAnsi="宋体"/>
                <w:kern w:val="2"/>
                <w:szCs w:val="24"/>
              </w:rPr>
              <w:t>或</w:t>
            </w:r>
            <w:r>
              <w:rPr>
                <w:rFonts w:ascii="Times New Roman" w:eastAsia="宋体"/>
                <w:kern w:val="2"/>
                <w:szCs w:val="24"/>
              </w:rPr>
              <w:t>GB 7000.202</w:t>
            </w:r>
            <w:r>
              <w:rPr>
                <w:rFonts w:ascii="Times New Roman" w:eastAsia="宋体" w:hAnsi="宋体"/>
                <w:kern w:val="2"/>
                <w:szCs w:val="24"/>
              </w:rPr>
              <w:t>、</w:t>
            </w:r>
            <w:r>
              <w:rPr>
                <w:rFonts w:ascii="Times New Roman" w:eastAsia="宋体"/>
                <w:kern w:val="2"/>
                <w:szCs w:val="24"/>
              </w:rPr>
              <w:t>GB 17625.1</w:t>
            </w:r>
            <w:r>
              <w:rPr>
                <w:rFonts w:ascii="Times New Roman" w:eastAsia="宋体" w:hAnsi="宋体"/>
                <w:kern w:val="2"/>
                <w:szCs w:val="24"/>
              </w:rPr>
              <w:t>、</w:t>
            </w:r>
            <w:r>
              <w:rPr>
                <w:rFonts w:ascii="Times New Roman" w:eastAsia="宋体"/>
                <w:kern w:val="2"/>
                <w:szCs w:val="24"/>
              </w:rPr>
              <w:t xml:space="preserve"> GB/T 17743</w:t>
            </w:r>
          </w:p>
        </w:tc>
      </w:tr>
      <w:tr w:rsidR="00B43218" w14:paraId="184EF550" w14:textId="77777777" w:rsidTr="00151D6F">
        <w:tc>
          <w:tcPr>
            <w:tcW w:w="1246" w:type="dxa"/>
            <w:vAlign w:val="center"/>
          </w:tcPr>
          <w:p w14:paraId="7690FADA"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2</w:t>
            </w:r>
          </w:p>
        </w:tc>
        <w:tc>
          <w:tcPr>
            <w:tcW w:w="849" w:type="dxa"/>
            <w:vMerge/>
            <w:vAlign w:val="center"/>
          </w:tcPr>
          <w:p w14:paraId="32F4675F"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1247" w:type="dxa"/>
            <w:vAlign w:val="center"/>
          </w:tcPr>
          <w:p w14:paraId="652E69D2"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功率因数</w:t>
            </w:r>
          </w:p>
        </w:tc>
        <w:tc>
          <w:tcPr>
            <w:tcW w:w="1245" w:type="dxa"/>
            <w:vAlign w:val="center"/>
          </w:tcPr>
          <w:p w14:paraId="409E93FA"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3737" w:type="dxa"/>
            <w:gridSpan w:val="3"/>
            <w:vAlign w:val="center"/>
          </w:tcPr>
          <w:p w14:paraId="1E9FACDF"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宋体" w:eastAsia="宋体" w:hAnsi="宋体" w:hint="eastAsia"/>
                <w:kern w:val="2"/>
                <w:szCs w:val="24"/>
              </w:rPr>
              <w:t>≥</w:t>
            </w:r>
            <w:r>
              <w:rPr>
                <w:rFonts w:ascii="Times New Roman" w:eastAsia="宋体" w:hAnsi="宋体" w:hint="eastAsia"/>
                <w:kern w:val="2"/>
                <w:szCs w:val="24"/>
              </w:rPr>
              <w:t>0.90</w:t>
            </w:r>
          </w:p>
        </w:tc>
        <w:tc>
          <w:tcPr>
            <w:tcW w:w="1715" w:type="dxa"/>
            <w:vAlign w:val="center"/>
          </w:tcPr>
          <w:p w14:paraId="6EB7B2B0" w14:textId="77777777" w:rsidR="00B43218" w:rsidRDefault="00B43218" w:rsidP="00151D6F">
            <w:pPr>
              <w:pStyle w:val="ad"/>
              <w:spacing w:beforeLines="0" w:afterLines="0"/>
              <w:jc w:val="center"/>
              <w:outlineLvl w:val="9"/>
              <w:rPr>
                <w:rFonts w:ascii="Times New Roman" w:eastAsia="宋体" w:hAnsi="宋体"/>
                <w:kern w:val="2"/>
                <w:szCs w:val="24"/>
              </w:rPr>
            </w:pPr>
          </w:p>
        </w:tc>
      </w:tr>
      <w:tr w:rsidR="00B43218" w14:paraId="6728E9AC" w14:textId="77777777" w:rsidTr="00151D6F">
        <w:tc>
          <w:tcPr>
            <w:tcW w:w="1246" w:type="dxa"/>
            <w:vAlign w:val="center"/>
          </w:tcPr>
          <w:p w14:paraId="2825BCC7"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3</w:t>
            </w:r>
          </w:p>
        </w:tc>
        <w:tc>
          <w:tcPr>
            <w:tcW w:w="849" w:type="dxa"/>
            <w:vMerge/>
            <w:vAlign w:val="center"/>
          </w:tcPr>
          <w:p w14:paraId="4AC7F968"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1247" w:type="dxa"/>
            <w:vAlign w:val="center"/>
          </w:tcPr>
          <w:p w14:paraId="74B7DFD2"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寿命</w:t>
            </w:r>
          </w:p>
        </w:tc>
        <w:tc>
          <w:tcPr>
            <w:tcW w:w="1245" w:type="dxa"/>
            <w:vAlign w:val="center"/>
          </w:tcPr>
          <w:p w14:paraId="4D1281B6"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3737" w:type="dxa"/>
            <w:gridSpan w:val="3"/>
            <w:vAlign w:val="center"/>
          </w:tcPr>
          <w:p w14:paraId="5A06F7DC"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宋体" w:eastAsia="宋体" w:hAnsi="宋体" w:hint="eastAsia"/>
                <w:kern w:val="2"/>
                <w:szCs w:val="24"/>
              </w:rPr>
              <w:t>≥25000h</w:t>
            </w:r>
          </w:p>
        </w:tc>
        <w:tc>
          <w:tcPr>
            <w:tcW w:w="1715" w:type="dxa"/>
            <w:vAlign w:val="center"/>
          </w:tcPr>
          <w:p w14:paraId="585F9D78" w14:textId="77777777" w:rsidR="00B43218" w:rsidRDefault="00B43218" w:rsidP="00151D6F">
            <w:pPr>
              <w:pStyle w:val="ad"/>
              <w:spacing w:beforeLines="0" w:afterLines="0"/>
              <w:jc w:val="center"/>
              <w:outlineLvl w:val="9"/>
              <w:rPr>
                <w:rFonts w:ascii="Times New Roman" w:eastAsia="宋体" w:hAnsi="宋体"/>
                <w:kern w:val="2"/>
                <w:szCs w:val="24"/>
              </w:rPr>
            </w:pPr>
          </w:p>
        </w:tc>
      </w:tr>
      <w:tr w:rsidR="00B43218" w14:paraId="669DFFFA" w14:textId="77777777" w:rsidTr="00151D6F">
        <w:tc>
          <w:tcPr>
            <w:tcW w:w="1246" w:type="dxa"/>
            <w:vAlign w:val="center"/>
          </w:tcPr>
          <w:p w14:paraId="27994699" w14:textId="77777777" w:rsidR="00B43218" w:rsidRDefault="00B43218" w:rsidP="00151D6F">
            <w:pPr>
              <w:pStyle w:val="ad"/>
              <w:spacing w:beforeLines="0" w:afterLines="0"/>
              <w:jc w:val="center"/>
              <w:outlineLvl w:val="9"/>
              <w:rPr>
                <w:rFonts w:ascii="Times New Roman" w:eastAsia="宋体" w:hAnsi="宋体" w:hint="eastAsia"/>
                <w:kern w:val="2"/>
                <w:szCs w:val="24"/>
              </w:rPr>
            </w:pPr>
            <w:r>
              <w:rPr>
                <w:rFonts w:ascii="Times New Roman" w:eastAsia="宋体" w:hAnsi="宋体" w:hint="eastAsia"/>
                <w:kern w:val="2"/>
                <w:szCs w:val="24"/>
              </w:rPr>
              <w:t>4</w:t>
            </w:r>
          </w:p>
        </w:tc>
        <w:tc>
          <w:tcPr>
            <w:tcW w:w="849" w:type="dxa"/>
            <w:vMerge/>
            <w:vAlign w:val="center"/>
          </w:tcPr>
          <w:p w14:paraId="3E3630A0"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1247" w:type="dxa"/>
            <w:vAlign w:val="center"/>
          </w:tcPr>
          <w:p w14:paraId="3FF44A2F"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一般显色指数</w:t>
            </w:r>
          </w:p>
        </w:tc>
        <w:tc>
          <w:tcPr>
            <w:tcW w:w="1245" w:type="dxa"/>
            <w:vAlign w:val="center"/>
          </w:tcPr>
          <w:p w14:paraId="19CEC1AC"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3737" w:type="dxa"/>
            <w:gridSpan w:val="3"/>
            <w:vAlign w:val="center"/>
          </w:tcPr>
          <w:p w14:paraId="2BE899BC"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&gt;80</w:t>
            </w:r>
          </w:p>
        </w:tc>
        <w:tc>
          <w:tcPr>
            <w:tcW w:w="1715" w:type="dxa"/>
            <w:vAlign w:val="center"/>
          </w:tcPr>
          <w:p w14:paraId="155E8842" w14:textId="77777777" w:rsidR="00B43218" w:rsidRDefault="00B43218" w:rsidP="00151D6F">
            <w:pPr>
              <w:pStyle w:val="ad"/>
              <w:spacing w:beforeLines="0" w:afterLines="0"/>
              <w:jc w:val="center"/>
              <w:outlineLvl w:val="9"/>
              <w:rPr>
                <w:rFonts w:ascii="Times New Roman" w:eastAsia="宋体" w:hAnsi="宋体"/>
                <w:kern w:val="2"/>
                <w:szCs w:val="24"/>
              </w:rPr>
            </w:pPr>
          </w:p>
        </w:tc>
      </w:tr>
      <w:tr w:rsidR="00B43218" w14:paraId="6574F8A9" w14:textId="77777777" w:rsidTr="00151D6F">
        <w:tc>
          <w:tcPr>
            <w:tcW w:w="1246" w:type="dxa"/>
            <w:vAlign w:val="center"/>
          </w:tcPr>
          <w:p w14:paraId="5671F5E8" w14:textId="77777777" w:rsidR="00B43218" w:rsidRDefault="00B43218" w:rsidP="00151D6F">
            <w:pPr>
              <w:pStyle w:val="ad"/>
              <w:spacing w:beforeLines="0" w:afterLines="0"/>
              <w:jc w:val="center"/>
              <w:outlineLvl w:val="9"/>
              <w:rPr>
                <w:rFonts w:ascii="Times New Roman" w:eastAsia="宋体" w:hAnsi="宋体" w:hint="eastAsia"/>
                <w:kern w:val="2"/>
                <w:szCs w:val="24"/>
              </w:rPr>
            </w:pPr>
            <w:r>
              <w:rPr>
                <w:rFonts w:ascii="Times New Roman" w:eastAsia="宋体" w:hAnsi="宋体" w:hint="eastAsia"/>
                <w:kern w:val="2"/>
                <w:szCs w:val="24"/>
              </w:rPr>
              <w:t>5</w:t>
            </w:r>
          </w:p>
        </w:tc>
        <w:tc>
          <w:tcPr>
            <w:tcW w:w="849" w:type="dxa"/>
            <w:vMerge/>
            <w:vAlign w:val="center"/>
          </w:tcPr>
          <w:p w14:paraId="6CF3A82F"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1247" w:type="dxa"/>
            <w:vAlign w:val="center"/>
          </w:tcPr>
          <w:p w14:paraId="5A880A49"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特殊显色指数</w:t>
            </w:r>
            <w:r>
              <w:rPr>
                <w:rFonts w:ascii="Times New Roman" w:eastAsia="宋体" w:hAnsi="宋体" w:hint="eastAsia"/>
                <w:kern w:val="2"/>
                <w:szCs w:val="24"/>
              </w:rPr>
              <w:t>R9</w:t>
            </w:r>
          </w:p>
        </w:tc>
        <w:tc>
          <w:tcPr>
            <w:tcW w:w="1245" w:type="dxa"/>
            <w:vAlign w:val="center"/>
          </w:tcPr>
          <w:p w14:paraId="2FFF6C0F"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3737" w:type="dxa"/>
            <w:gridSpan w:val="3"/>
            <w:vAlign w:val="center"/>
          </w:tcPr>
          <w:p w14:paraId="74E1579C"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&gt;0</w:t>
            </w:r>
          </w:p>
        </w:tc>
        <w:tc>
          <w:tcPr>
            <w:tcW w:w="1715" w:type="dxa"/>
            <w:vAlign w:val="center"/>
          </w:tcPr>
          <w:p w14:paraId="03EAE58D" w14:textId="77777777" w:rsidR="00B43218" w:rsidRDefault="00B43218" w:rsidP="00151D6F">
            <w:pPr>
              <w:pStyle w:val="ad"/>
              <w:spacing w:beforeLines="0" w:afterLines="0"/>
              <w:jc w:val="center"/>
              <w:outlineLvl w:val="9"/>
              <w:rPr>
                <w:rFonts w:ascii="Times New Roman" w:eastAsia="宋体" w:hAnsi="宋体"/>
                <w:kern w:val="2"/>
                <w:szCs w:val="24"/>
              </w:rPr>
            </w:pPr>
          </w:p>
        </w:tc>
      </w:tr>
      <w:tr w:rsidR="00B43218" w14:paraId="49245978" w14:textId="77777777" w:rsidTr="00151D6F">
        <w:tc>
          <w:tcPr>
            <w:tcW w:w="1246" w:type="dxa"/>
            <w:vAlign w:val="center"/>
          </w:tcPr>
          <w:p w14:paraId="53744C33" w14:textId="77777777" w:rsidR="00B43218" w:rsidRDefault="00B43218" w:rsidP="00151D6F">
            <w:pPr>
              <w:pStyle w:val="ad"/>
              <w:spacing w:beforeLines="0" w:afterLines="0"/>
              <w:jc w:val="center"/>
              <w:outlineLvl w:val="9"/>
              <w:rPr>
                <w:rFonts w:ascii="Times New Roman" w:eastAsia="宋体" w:hAnsi="宋体" w:hint="eastAsia"/>
                <w:kern w:val="2"/>
                <w:szCs w:val="24"/>
              </w:rPr>
            </w:pPr>
            <w:r>
              <w:rPr>
                <w:rFonts w:ascii="Times New Roman" w:eastAsia="宋体" w:hAnsi="宋体" w:hint="eastAsia"/>
                <w:kern w:val="2"/>
                <w:szCs w:val="24"/>
              </w:rPr>
              <w:t>6</w:t>
            </w:r>
          </w:p>
        </w:tc>
        <w:tc>
          <w:tcPr>
            <w:tcW w:w="849" w:type="dxa"/>
            <w:vMerge/>
            <w:vAlign w:val="center"/>
          </w:tcPr>
          <w:p w14:paraId="2F9C3471"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1247" w:type="dxa"/>
            <w:vAlign w:val="center"/>
          </w:tcPr>
          <w:p w14:paraId="1694ACD1"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工作温度</w:t>
            </w:r>
          </w:p>
        </w:tc>
        <w:tc>
          <w:tcPr>
            <w:tcW w:w="1245" w:type="dxa"/>
            <w:vAlign w:val="center"/>
          </w:tcPr>
          <w:p w14:paraId="60B698A1"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3737" w:type="dxa"/>
            <w:gridSpan w:val="3"/>
            <w:vAlign w:val="center"/>
          </w:tcPr>
          <w:p w14:paraId="580A35FF"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-20</w:t>
            </w:r>
            <w:r>
              <w:rPr>
                <w:rFonts w:hAnsi="黑体" w:hint="eastAsia"/>
                <w:kern w:val="2"/>
                <w:szCs w:val="24"/>
              </w:rPr>
              <w:t>～</w:t>
            </w:r>
            <w:r>
              <w:rPr>
                <w:rFonts w:ascii="Times New Roman" w:eastAsia="宋体" w:hAnsi="宋体"/>
                <w:kern w:val="2"/>
                <w:szCs w:val="24"/>
              </w:rPr>
              <w:t>40</w:t>
            </w:r>
          </w:p>
        </w:tc>
        <w:tc>
          <w:tcPr>
            <w:tcW w:w="1715" w:type="dxa"/>
            <w:vAlign w:val="center"/>
          </w:tcPr>
          <w:p w14:paraId="1AC66BDA" w14:textId="77777777" w:rsidR="00B43218" w:rsidRDefault="00B43218" w:rsidP="00151D6F">
            <w:pPr>
              <w:pStyle w:val="ad"/>
              <w:spacing w:beforeLines="0" w:afterLines="0"/>
              <w:jc w:val="center"/>
              <w:outlineLvl w:val="9"/>
              <w:rPr>
                <w:rFonts w:ascii="Times New Roman" w:eastAsia="宋体" w:hAnsi="宋体"/>
                <w:kern w:val="2"/>
                <w:szCs w:val="24"/>
              </w:rPr>
            </w:pPr>
          </w:p>
        </w:tc>
      </w:tr>
      <w:tr w:rsidR="00B43218" w14:paraId="145BE60A" w14:textId="77777777" w:rsidTr="00151D6F">
        <w:tc>
          <w:tcPr>
            <w:tcW w:w="1246" w:type="dxa"/>
            <w:vAlign w:val="center"/>
          </w:tcPr>
          <w:p w14:paraId="1289312E" w14:textId="77777777" w:rsidR="00B43218" w:rsidRDefault="00B43218" w:rsidP="00151D6F">
            <w:pPr>
              <w:pStyle w:val="ad"/>
              <w:spacing w:beforeLines="0" w:afterLines="0"/>
              <w:jc w:val="center"/>
              <w:outlineLvl w:val="9"/>
              <w:rPr>
                <w:rFonts w:ascii="Times New Roman" w:eastAsia="宋体" w:hAnsi="宋体" w:hint="eastAsia"/>
                <w:kern w:val="2"/>
                <w:szCs w:val="24"/>
              </w:rPr>
            </w:pPr>
            <w:r>
              <w:rPr>
                <w:rFonts w:ascii="Times New Roman" w:eastAsia="宋体" w:hAnsi="宋体" w:hint="eastAsia"/>
                <w:kern w:val="2"/>
                <w:szCs w:val="24"/>
              </w:rPr>
              <w:t>7</w:t>
            </w:r>
          </w:p>
        </w:tc>
        <w:tc>
          <w:tcPr>
            <w:tcW w:w="849" w:type="dxa"/>
            <w:vMerge w:val="restart"/>
            <w:vAlign w:val="center"/>
          </w:tcPr>
          <w:p w14:paraId="34306A5C"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核心指标</w:t>
            </w:r>
          </w:p>
        </w:tc>
        <w:tc>
          <w:tcPr>
            <w:tcW w:w="1247" w:type="dxa"/>
            <w:vAlign w:val="center"/>
          </w:tcPr>
          <w:p w14:paraId="406D0B30" w14:textId="77777777" w:rsidR="00B43218" w:rsidRDefault="00B43218" w:rsidP="00151D6F">
            <w:pPr>
              <w:pStyle w:val="ad"/>
              <w:spacing w:beforeLines="0" w:afterLines="0"/>
              <w:jc w:val="center"/>
              <w:outlineLvl w:val="9"/>
              <w:rPr>
                <w:rFonts w:ascii="Times New Roman" w:eastAsia="宋体" w:hAnsi="宋体" w:hint="eastAsia"/>
                <w:kern w:val="2"/>
                <w:szCs w:val="24"/>
              </w:rPr>
            </w:pPr>
            <w:r>
              <w:rPr>
                <w:rFonts w:ascii="Times New Roman" w:eastAsia="宋体" w:hAnsi="宋体" w:hint="eastAsia"/>
                <w:kern w:val="2"/>
                <w:szCs w:val="24"/>
              </w:rPr>
              <w:t>能效</w:t>
            </w:r>
          </w:p>
        </w:tc>
        <w:tc>
          <w:tcPr>
            <w:tcW w:w="1245" w:type="dxa"/>
            <w:vAlign w:val="center"/>
          </w:tcPr>
          <w:p w14:paraId="3252FA05"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1245" w:type="dxa"/>
            <w:vAlign w:val="center"/>
          </w:tcPr>
          <w:p w14:paraId="344E5388"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75</w:t>
            </w:r>
          </w:p>
        </w:tc>
        <w:tc>
          <w:tcPr>
            <w:tcW w:w="1245" w:type="dxa"/>
            <w:vAlign w:val="center"/>
          </w:tcPr>
          <w:p w14:paraId="3BE74759"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80</w:t>
            </w:r>
          </w:p>
        </w:tc>
        <w:tc>
          <w:tcPr>
            <w:tcW w:w="1247" w:type="dxa"/>
            <w:vAlign w:val="center"/>
          </w:tcPr>
          <w:p w14:paraId="32A8EAFD"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85</w:t>
            </w:r>
          </w:p>
        </w:tc>
        <w:tc>
          <w:tcPr>
            <w:tcW w:w="1715" w:type="dxa"/>
            <w:vAlign w:val="center"/>
          </w:tcPr>
          <w:p w14:paraId="154BB498" w14:textId="77777777" w:rsidR="00B43218" w:rsidRDefault="00B43218" w:rsidP="00151D6F">
            <w:pPr>
              <w:pStyle w:val="ad"/>
              <w:spacing w:beforeLines="0" w:afterLines="0"/>
              <w:jc w:val="center"/>
              <w:outlineLvl w:val="9"/>
              <w:rPr>
                <w:rFonts w:ascii="Times New Roman" w:eastAsia="宋体" w:hAnsi="宋体"/>
                <w:kern w:val="2"/>
                <w:szCs w:val="24"/>
              </w:rPr>
            </w:pPr>
          </w:p>
        </w:tc>
      </w:tr>
      <w:tr w:rsidR="00B43218" w14:paraId="1D90F7E3" w14:textId="77777777" w:rsidTr="00151D6F">
        <w:tc>
          <w:tcPr>
            <w:tcW w:w="1246" w:type="dxa"/>
            <w:vAlign w:val="center"/>
          </w:tcPr>
          <w:p w14:paraId="2494D7AA" w14:textId="77777777" w:rsidR="00B43218" w:rsidRDefault="00B43218" w:rsidP="00151D6F">
            <w:pPr>
              <w:pStyle w:val="ad"/>
              <w:spacing w:beforeLines="0" w:afterLines="0"/>
              <w:jc w:val="center"/>
              <w:outlineLvl w:val="9"/>
              <w:rPr>
                <w:rFonts w:ascii="Times New Roman" w:eastAsia="宋体" w:hAnsi="宋体" w:hint="eastAsia"/>
                <w:kern w:val="2"/>
                <w:szCs w:val="24"/>
              </w:rPr>
            </w:pPr>
            <w:r>
              <w:rPr>
                <w:rFonts w:ascii="Times New Roman" w:eastAsia="宋体" w:hAnsi="宋体" w:hint="eastAsia"/>
                <w:kern w:val="2"/>
                <w:szCs w:val="24"/>
              </w:rPr>
              <w:t>8</w:t>
            </w:r>
          </w:p>
        </w:tc>
        <w:tc>
          <w:tcPr>
            <w:tcW w:w="849" w:type="dxa"/>
            <w:vMerge/>
            <w:vAlign w:val="center"/>
          </w:tcPr>
          <w:p w14:paraId="7D2259EA"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1247" w:type="dxa"/>
            <w:vAlign w:val="center"/>
          </w:tcPr>
          <w:p w14:paraId="29E058F3" w14:textId="77777777" w:rsidR="00B43218" w:rsidRDefault="00B43218" w:rsidP="00151D6F">
            <w:pPr>
              <w:pStyle w:val="ad"/>
              <w:spacing w:beforeLines="0" w:afterLines="0"/>
              <w:jc w:val="center"/>
              <w:outlineLvl w:val="9"/>
              <w:rPr>
                <w:rFonts w:ascii="Times New Roman" w:eastAsia="宋体" w:hAnsi="宋体" w:hint="eastAsia"/>
                <w:kern w:val="2"/>
                <w:szCs w:val="24"/>
              </w:rPr>
            </w:pPr>
            <w:r>
              <w:rPr>
                <w:rFonts w:ascii="Times New Roman" w:eastAsia="宋体" w:hAnsi="宋体" w:hint="eastAsia"/>
                <w:kern w:val="2"/>
                <w:szCs w:val="24"/>
              </w:rPr>
              <w:t>SVM</w:t>
            </w:r>
          </w:p>
        </w:tc>
        <w:tc>
          <w:tcPr>
            <w:tcW w:w="1245" w:type="dxa"/>
            <w:vAlign w:val="center"/>
          </w:tcPr>
          <w:p w14:paraId="1EC12E55"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1245" w:type="dxa"/>
            <w:vAlign w:val="center"/>
          </w:tcPr>
          <w:p w14:paraId="741B345D"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1.6</w:t>
            </w:r>
          </w:p>
        </w:tc>
        <w:tc>
          <w:tcPr>
            <w:tcW w:w="1245" w:type="dxa"/>
            <w:vAlign w:val="center"/>
          </w:tcPr>
          <w:p w14:paraId="52B4CA8C"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1.0</w:t>
            </w:r>
          </w:p>
        </w:tc>
        <w:tc>
          <w:tcPr>
            <w:tcW w:w="1247" w:type="dxa"/>
            <w:vAlign w:val="center"/>
          </w:tcPr>
          <w:p w14:paraId="7CCB32F3"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0.4</w:t>
            </w:r>
          </w:p>
        </w:tc>
        <w:tc>
          <w:tcPr>
            <w:tcW w:w="1715" w:type="dxa"/>
            <w:vAlign w:val="center"/>
          </w:tcPr>
          <w:p w14:paraId="1A6E892B" w14:textId="77777777" w:rsidR="00B43218" w:rsidRDefault="00B43218" w:rsidP="00151D6F">
            <w:pPr>
              <w:pStyle w:val="ad"/>
              <w:spacing w:beforeLines="0" w:afterLines="0"/>
              <w:jc w:val="center"/>
              <w:outlineLvl w:val="9"/>
              <w:rPr>
                <w:rFonts w:ascii="Times New Roman" w:eastAsia="宋体" w:hAnsi="宋体"/>
                <w:kern w:val="2"/>
                <w:szCs w:val="24"/>
              </w:rPr>
            </w:pPr>
          </w:p>
        </w:tc>
      </w:tr>
      <w:tr w:rsidR="00B43218" w14:paraId="284612D7" w14:textId="77777777" w:rsidTr="00151D6F">
        <w:tc>
          <w:tcPr>
            <w:tcW w:w="1246" w:type="dxa"/>
            <w:vAlign w:val="center"/>
          </w:tcPr>
          <w:p w14:paraId="5D827AF5" w14:textId="77777777" w:rsidR="00B43218" w:rsidRDefault="00B43218" w:rsidP="00151D6F">
            <w:pPr>
              <w:pStyle w:val="ad"/>
              <w:spacing w:beforeLines="0" w:afterLines="0"/>
              <w:jc w:val="center"/>
              <w:outlineLvl w:val="9"/>
              <w:rPr>
                <w:rFonts w:ascii="Times New Roman" w:eastAsia="宋体" w:hAnsi="宋体" w:hint="eastAsia"/>
                <w:kern w:val="2"/>
                <w:szCs w:val="24"/>
              </w:rPr>
            </w:pPr>
            <w:r>
              <w:rPr>
                <w:rFonts w:ascii="Times New Roman" w:eastAsia="宋体" w:hAnsi="宋体" w:hint="eastAsia"/>
                <w:kern w:val="2"/>
                <w:szCs w:val="24"/>
              </w:rPr>
              <w:t>9</w:t>
            </w:r>
          </w:p>
        </w:tc>
        <w:tc>
          <w:tcPr>
            <w:tcW w:w="849" w:type="dxa"/>
            <w:vMerge/>
            <w:vAlign w:val="center"/>
          </w:tcPr>
          <w:p w14:paraId="71B3EB62"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1247" w:type="dxa"/>
            <w:vAlign w:val="center"/>
          </w:tcPr>
          <w:p w14:paraId="1E59FB66" w14:textId="77777777" w:rsidR="00B43218" w:rsidRDefault="00B43218" w:rsidP="00151D6F">
            <w:pPr>
              <w:pStyle w:val="ad"/>
              <w:spacing w:beforeLines="0" w:afterLines="0"/>
              <w:jc w:val="center"/>
              <w:outlineLvl w:val="9"/>
              <w:rPr>
                <w:rFonts w:ascii="Times New Roman" w:eastAsia="宋体" w:hAnsi="宋体" w:hint="eastAsia"/>
                <w:kern w:val="2"/>
                <w:szCs w:val="24"/>
              </w:rPr>
            </w:pPr>
            <w:proofErr w:type="gramStart"/>
            <w:r>
              <w:rPr>
                <w:rFonts w:ascii="Times New Roman" w:eastAsia="宋体" w:hAnsi="宋体" w:hint="eastAsia"/>
                <w:kern w:val="2"/>
                <w:szCs w:val="24"/>
              </w:rPr>
              <w:t>色域指数</w:t>
            </w:r>
            <w:proofErr w:type="gramEnd"/>
          </w:p>
        </w:tc>
        <w:tc>
          <w:tcPr>
            <w:tcW w:w="1245" w:type="dxa"/>
            <w:vAlign w:val="center"/>
          </w:tcPr>
          <w:p w14:paraId="7D0E4800"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1245" w:type="dxa"/>
            <w:vAlign w:val="center"/>
          </w:tcPr>
          <w:p w14:paraId="27ED20F0"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80</w:t>
            </w:r>
          </w:p>
        </w:tc>
        <w:tc>
          <w:tcPr>
            <w:tcW w:w="1245" w:type="dxa"/>
            <w:vAlign w:val="center"/>
          </w:tcPr>
          <w:p w14:paraId="4F155142"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90</w:t>
            </w:r>
          </w:p>
        </w:tc>
        <w:tc>
          <w:tcPr>
            <w:tcW w:w="1247" w:type="dxa"/>
            <w:vAlign w:val="center"/>
          </w:tcPr>
          <w:p w14:paraId="7FDB220C"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100</w:t>
            </w:r>
          </w:p>
        </w:tc>
        <w:tc>
          <w:tcPr>
            <w:tcW w:w="1715" w:type="dxa"/>
            <w:vAlign w:val="center"/>
          </w:tcPr>
          <w:p w14:paraId="14B614BB" w14:textId="77777777" w:rsidR="00B43218" w:rsidRDefault="00B43218" w:rsidP="00151D6F">
            <w:pPr>
              <w:pStyle w:val="ad"/>
              <w:spacing w:beforeLines="0" w:afterLines="0"/>
              <w:jc w:val="center"/>
              <w:outlineLvl w:val="9"/>
              <w:rPr>
                <w:rFonts w:ascii="Times New Roman" w:eastAsia="宋体" w:hAnsi="宋体"/>
                <w:kern w:val="2"/>
                <w:szCs w:val="24"/>
              </w:rPr>
            </w:pPr>
          </w:p>
        </w:tc>
      </w:tr>
      <w:tr w:rsidR="00B43218" w14:paraId="5A5F5EB9" w14:textId="77777777" w:rsidTr="00151D6F">
        <w:tc>
          <w:tcPr>
            <w:tcW w:w="1246" w:type="dxa"/>
            <w:vAlign w:val="center"/>
          </w:tcPr>
          <w:p w14:paraId="234D91D5" w14:textId="77777777" w:rsidR="00B43218" w:rsidRDefault="00B43218" w:rsidP="00151D6F">
            <w:pPr>
              <w:pStyle w:val="ad"/>
              <w:spacing w:beforeLines="0" w:afterLines="0"/>
              <w:jc w:val="center"/>
              <w:outlineLvl w:val="9"/>
              <w:rPr>
                <w:rFonts w:ascii="Times New Roman" w:eastAsia="宋体" w:hAnsi="宋体" w:hint="eastAsia"/>
                <w:kern w:val="2"/>
                <w:szCs w:val="24"/>
              </w:rPr>
            </w:pPr>
            <w:r>
              <w:rPr>
                <w:rFonts w:ascii="Times New Roman" w:eastAsia="宋体" w:hAnsi="宋体" w:hint="eastAsia"/>
                <w:kern w:val="2"/>
                <w:szCs w:val="24"/>
              </w:rPr>
              <w:t>10</w:t>
            </w:r>
          </w:p>
        </w:tc>
        <w:tc>
          <w:tcPr>
            <w:tcW w:w="849" w:type="dxa"/>
            <w:vMerge/>
            <w:vAlign w:val="center"/>
          </w:tcPr>
          <w:p w14:paraId="71E0560B"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1247" w:type="dxa"/>
            <w:vAlign w:val="center"/>
          </w:tcPr>
          <w:p w14:paraId="4651D0A4" w14:textId="77777777" w:rsidR="00B43218" w:rsidRDefault="00B43218" w:rsidP="00151D6F">
            <w:pPr>
              <w:pStyle w:val="ad"/>
              <w:spacing w:beforeLines="0" w:afterLines="0"/>
              <w:jc w:val="center"/>
              <w:outlineLvl w:val="9"/>
              <w:rPr>
                <w:rFonts w:ascii="Times New Roman" w:eastAsia="宋体" w:hAnsi="宋体" w:hint="eastAsia"/>
                <w:kern w:val="2"/>
                <w:szCs w:val="24"/>
              </w:rPr>
            </w:pPr>
            <w:r>
              <w:rPr>
                <w:rFonts w:ascii="Times New Roman" w:eastAsia="宋体" w:hAnsi="宋体" w:hint="eastAsia"/>
                <w:kern w:val="2"/>
                <w:szCs w:val="24"/>
              </w:rPr>
              <w:t>谐波</w:t>
            </w:r>
            <w:r>
              <w:rPr>
                <w:rFonts w:ascii="Times New Roman" w:eastAsia="宋体" w:hAnsi="宋体" w:hint="eastAsia"/>
                <w:kern w:val="2"/>
                <w:szCs w:val="24"/>
              </w:rPr>
              <w:t>THD</w:t>
            </w:r>
          </w:p>
        </w:tc>
        <w:tc>
          <w:tcPr>
            <w:tcW w:w="1245" w:type="dxa"/>
            <w:vAlign w:val="center"/>
          </w:tcPr>
          <w:p w14:paraId="4BBE0C1A"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1245" w:type="dxa"/>
            <w:vAlign w:val="center"/>
          </w:tcPr>
          <w:p w14:paraId="54E32A32"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20%</w:t>
            </w:r>
          </w:p>
        </w:tc>
        <w:tc>
          <w:tcPr>
            <w:tcW w:w="1245" w:type="dxa"/>
            <w:vAlign w:val="center"/>
          </w:tcPr>
          <w:p w14:paraId="29D69775"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15%</w:t>
            </w:r>
          </w:p>
        </w:tc>
        <w:tc>
          <w:tcPr>
            <w:tcW w:w="1247" w:type="dxa"/>
            <w:vAlign w:val="center"/>
          </w:tcPr>
          <w:p w14:paraId="287D2E6F"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10%</w:t>
            </w:r>
          </w:p>
        </w:tc>
        <w:tc>
          <w:tcPr>
            <w:tcW w:w="1715" w:type="dxa"/>
            <w:vAlign w:val="center"/>
          </w:tcPr>
          <w:p w14:paraId="656B2460" w14:textId="77777777" w:rsidR="00B43218" w:rsidRDefault="00B43218" w:rsidP="00151D6F">
            <w:pPr>
              <w:pStyle w:val="ad"/>
              <w:spacing w:beforeLines="0" w:afterLines="0"/>
              <w:jc w:val="center"/>
              <w:outlineLvl w:val="9"/>
              <w:rPr>
                <w:rFonts w:ascii="Times New Roman" w:eastAsia="宋体" w:hAnsi="宋体"/>
                <w:kern w:val="2"/>
                <w:szCs w:val="24"/>
              </w:rPr>
            </w:pPr>
          </w:p>
        </w:tc>
      </w:tr>
      <w:tr w:rsidR="00B43218" w14:paraId="4B23094A" w14:textId="77777777" w:rsidTr="00151D6F">
        <w:tc>
          <w:tcPr>
            <w:tcW w:w="1246" w:type="dxa"/>
            <w:vAlign w:val="center"/>
          </w:tcPr>
          <w:p w14:paraId="17C1D5F9" w14:textId="77777777" w:rsidR="00B43218" w:rsidRDefault="00B43218" w:rsidP="00151D6F">
            <w:pPr>
              <w:pStyle w:val="ad"/>
              <w:spacing w:beforeLines="0" w:afterLines="0"/>
              <w:jc w:val="center"/>
              <w:outlineLvl w:val="9"/>
              <w:rPr>
                <w:rFonts w:ascii="Times New Roman" w:eastAsia="宋体" w:hAnsi="宋体" w:hint="eastAsia"/>
                <w:kern w:val="2"/>
                <w:szCs w:val="24"/>
              </w:rPr>
            </w:pPr>
            <w:r>
              <w:rPr>
                <w:rFonts w:ascii="Times New Roman" w:eastAsia="宋体" w:hAnsi="宋体" w:hint="eastAsia"/>
                <w:kern w:val="2"/>
                <w:szCs w:val="24"/>
              </w:rPr>
              <w:t>11</w:t>
            </w:r>
          </w:p>
        </w:tc>
        <w:tc>
          <w:tcPr>
            <w:tcW w:w="849" w:type="dxa"/>
            <w:vMerge/>
            <w:tcBorders>
              <w:bottom w:val="single" w:sz="4" w:space="0" w:color="auto"/>
            </w:tcBorders>
            <w:vAlign w:val="center"/>
          </w:tcPr>
          <w:p w14:paraId="023A611E"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1247" w:type="dxa"/>
            <w:vAlign w:val="center"/>
          </w:tcPr>
          <w:p w14:paraId="14AC5D18" w14:textId="77777777" w:rsidR="00B43218" w:rsidRDefault="00B43218" w:rsidP="00151D6F">
            <w:pPr>
              <w:pStyle w:val="ad"/>
              <w:spacing w:beforeLines="0" w:afterLines="0"/>
              <w:jc w:val="center"/>
              <w:outlineLvl w:val="9"/>
              <w:rPr>
                <w:rFonts w:ascii="Times New Roman" w:eastAsia="宋体" w:hAnsi="宋体" w:hint="eastAsia"/>
                <w:kern w:val="2"/>
                <w:szCs w:val="24"/>
              </w:rPr>
            </w:pPr>
            <w:r>
              <w:rPr>
                <w:rFonts w:ascii="Times New Roman" w:eastAsia="宋体" w:hAnsi="宋体" w:hint="eastAsia"/>
                <w:kern w:val="2"/>
                <w:szCs w:val="24"/>
              </w:rPr>
              <w:t>色容差</w:t>
            </w:r>
          </w:p>
        </w:tc>
        <w:tc>
          <w:tcPr>
            <w:tcW w:w="1245" w:type="dxa"/>
            <w:vAlign w:val="center"/>
          </w:tcPr>
          <w:p w14:paraId="337C271B"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1245" w:type="dxa"/>
            <w:vAlign w:val="center"/>
          </w:tcPr>
          <w:p w14:paraId="3CF508EE"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宋体" w:eastAsia="宋体" w:hAnsi="宋体" w:hint="eastAsia"/>
                <w:kern w:val="2"/>
                <w:szCs w:val="24"/>
              </w:rPr>
              <w:t>≤</w:t>
            </w:r>
            <w:r>
              <w:rPr>
                <w:rFonts w:ascii="Times New Roman" w:eastAsia="宋体" w:hAnsi="宋体" w:hint="eastAsia"/>
                <w:kern w:val="2"/>
                <w:szCs w:val="24"/>
              </w:rPr>
              <w:t>5</w:t>
            </w:r>
          </w:p>
        </w:tc>
        <w:tc>
          <w:tcPr>
            <w:tcW w:w="1245" w:type="dxa"/>
            <w:vAlign w:val="center"/>
          </w:tcPr>
          <w:p w14:paraId="1F646F4D"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宋体" w:eastAsia="宋体" w:hAnsi="宋体" w:hint="eastAsia"/>
                <w:kern w:val="2"/>
                <w:szCs w:val="24"/>
              </w:rPr>
              <w:t>≤</w:t>
            </w:r>
            <w:r>
              <w:rPr>
                <w:rFonts w:ascii="Times New Roman" w:eastAsia="宋体" w:hAnsi="宋体"/>
                <w:kern w:val="2"/>
                <w:szCs w:val="24"/>
              </w:rPr>
              <w:t>4</w:t>
            </w:r>
          </w:p>
        </w:tc>
        <w:tc>
          <w:tcPr>
            <w:tcW w:w="1247" w:type="dxa"/>
            <w:vAlign w:val="center"/>
          </w:tcPr>
          <w:p w14:paraId="6B0E9278"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宋体" w:eastAsia="宋体" w:hAnsi="宋体" w:hint="eastAsia"/>
                <w:kern w:val="2"/>
                <w:szCs w:val="24"/>
              </w:rPr>
              <w:t>≤</w:t>
            </w:r>
            <w:r>
              <w:rPr>
                <w:rFonts w:ascii="Times New Roman" w:eastAsia="宋体" w:hAnsi="宋体"/>
                <w:kern w:val="2"/>
                <w:szCs w:val="24"/>
              </w:rPr>
              <w:t>3</w:t>
            </w:r>
          </w:p>
        </w:tc>
        <w:tc>
          <w:tcPr>
            <w:tcW w:w="1715" w:type="dxa"/>
            <w:vAlign w:val="center"/>
          </w:tcPr>
          <w:p w14:paraId="2915F9F6" w14:textId="77777777" w:rsidR="00B43218" w:rsidRDefault="00B43218" w:rsidP="00151D6F">
            <w:pPr>
              <w:pStyle w:val="ad"/>
              <w:spacing w:beforeLines="0" w:afterLines="0"/>
              <w:jc w:val="center"/>
              <w:outlineLvl w:val="9"/>
              <w:rPr>
                <w:rFonts w:ascii="Times New Roman" w:eastAsia="宋体" w:hAnsi="宋体"/>
                <w:kern w:val="2"/>
                <w:szCs w:val="24"/>
              </w:rPr>
            </w:pPr>
          </w:p>
        </w:tc>
      </w:tr>
      <w:tr w:rsidR="00B43218" w14:paraId="43BD96E7" w14:textId="77777777" w:rsidTr="00151D6F">
        <w:tc>
          <w:tcPr>
            <w:tcW w:w="1246" w:type="dxa"/>
            <w:vAlign w:val="center"/>
          </w:tcPr>
          <w:p w14:paraId="1A283B32" w14:textId="77777777" w:rsidR="00B43218" w:rsidRDefault="00B43218" w:rsidP="00151D6F">
            <w:pPr>
              <w:pStyle w:val="ad"/>
              <w:spacing w:beforeLines="0" w:afterLines="0"/>
              <w:jc w:val="center"/>
              <w:outlineLvl w:val="9"/>
              <w:rPr>
                <w:rFonts w:ascii="Times New Roman" w:eastAsia="宋体" w:hAnsi="宋体" w:hint="eastAsia"/>
                <w:kern w:val="2"/>
                <w:szCs w:val="24"/>
              </w:rPr>
            </w:pPr>
            <w:r>
              <w:rPr>
                <w:rFonts w:ascii="Times New Roman" w:eastAsia="宋体" w:hAnsi="宋体" w:hint="eastAsia"/>
                <w:kern w:val="2"/>
                <w:szCs w:val="24"/>
              </w:rPr>
              <w:t>12</w:t>
            </w:r>
          </w:p>
        </w:tc>
        <w:tc>
          <w:tcPr>
            <w:tcW w:w="849" w:type="dxa"/>
            <w:tcBorders>
              <w:top w:val="single" w:sz="4" w:space="0" w:color="auto"/>
            </w:tcBorders>
            <w:vAlign w:val="center"/>
          </w:tcPr>
          <w:p w14:paraId="1473A271" w14:textId="77777777" w:rsidR="00B43218" w:rsidRDefault="00B43218" w:rsidP="00151D6F">
            <w:pPr>
              <w:pStyle w:val="ad"/>
              <w:spacing w:before="156" w:after="156"/>
              <w:jc w:val="center"/>
              <w:rPr>
                <w:rFonts w:ascii="Times New Roman" w:eastAsia="宋体" w:hAnsi="宋体"/>
                <w:kern w:val="2"/>
                <w:szCs w:val="24"/>
              </w:rPr>
            </w:pPr>
            <w:r>
              <w:rPr>
                <w:rFonts w:ascii="Times New Roman" w:eastAsia="宋体" w:hAnsi="宋体" w:hint="eastAsia"/>
                <w:kern w:val="2"/>
                <w:szCs w:val="24"/>
              </w:rPr>
              <w:t>创新性指标</w:t>
            </w:r>
          </w:p>
        </w:tc>
        <w:tc>
          <w:tcPr>
            <w:tcW w:w="1247" w:type="dxa"/>
            <w:vAlign w:val="center"/>
          </w:tcPr>
          <w:p w14:paraId="332B8226" w14:textId="77777777" w:rsidR="00B43218" w:rsidRDefault="00B43218" w:rsidP="00151D6F">
            <w:pPr>
              <w:pStyle w:val="ad"/>
              <w:spacing w:beforeLines="0" w:afterLines="0"/>
              <w:jc w:val="center"/>
              <w:outlineLvl w:val="9"/>
              <w:rPr>
                <w:rFonts w:ascii="Times New Roman" w:eastAsia="宋体" w:hAnsi="宋体" w:hint="eastAsia"/>
                <w:kern w:val="2"/>
                <w:szCs w:val="24"/>
              </w:rPr>
            </w:pPr>
            <w:r>
              <w:rPr>
                <w:rFonts w:ascii="Times New Roman" w:eastAsia="宋体" w:hAnsi="宋体" w:hint="eastAsia"/>
                <w:kern w:val="2"/>
                <w:szCs w:val="24"/>
              </w:rPr>
              <w:t>智能化</w:t>
            </w:r>
          </w:p>
        </w:tc>
        <w:tc>
          <w:tcPr>
            <w:tcW w:w="1245" w:type="dxa"/>
            <w:vAlign w:val="center"/>
          </w:tcPr>
          <w:p w14:paraId="272CAF04" w14:textId="77777777" w:rsidR="00B43218" w:rsidRDefault="00B43218" w:rsidP="00151D6F">
            <w:pPr>
              <w:pStyle w:val="ad"/>
              <w:spacing w:beforeLines="0" w:afterLines="0"/>
              <w:jc w:val="center"/>
              <w:outlineLvl w:val="9"/>
              <w:rPr>
                <w:rFonts w:ascii="Times New Roman" w:eastAsia="宋体" w:hAnsi="宋体"/>
                <w:kern w:val="2"/>
                <w:szCs w:val="24"/>
              </w:rPr>
            </w:pPr>
          </w:p>
        </w:tc>
        <w:tc>
          <w:tcPr>
            <w:tcW w:w="1245" w:type="dxa"/>
            <w:vAlign w:val="center"/>
          </w:tcPr>
          <w:p w14:paraId="784303AB"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w:t>
            </w:r>
          </w:p>
        </w:tc>
        <w:tc>
          <w:tcPr>
            <w:tcW w:w="1245" w:type="dxa"/>
            <w:vAlign w:val="center"/>
          </w:tcPr>
          <w:p w14:paraId="3DF0A172"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与窗帘联动</w:t>
            </w:r>
          </w:p>
        </w:tc>
        <w:tc>
          <w:tcPr>
            <w:tcW w:w="1247" w:type="dxa"/>
            <w:vAlign w:val="center"/>
          </w:tcPr>
          <w:p w14:paraId="536E62A9" w14:textId="77777777" w:rsidR="00B43218" w:rsidRDefault="00B43218" w:rsidP="00151D6F">
            <w:pPr>
              <w:pStyle w:val="ad"/>
              <w:spacing w:beforeLines="0" w:afterLines="0"/>
              <w:jc w:val="center"/>
              <w:outlineLvl w:val="9"/>
              <w:rPr>
                <w:rFonts w:ascii="Times New Roman" w:eastAsia="宋体" w:hAnsi="宋体"/>
                <w:kern w:val="2"/>
                <w:szCs w:val="24"/>
              </w:rPr>
            </w:pPr>
            <w:r>
              <w:rPr>
                <w:rFonts w:ascii="Times New Roman" w:eastAsia="宋体" w:hAnsi="宋体" w:hint="eastAsia"/>
                <w:kern w:val="2"/>
                <w:szCs w:val="24"/>
              </w:rPr>
              <w:t>与窗帘、教学装置等联动</w:t>
            </w:r>
          </w:p>
        </w:tc>
        <w:tc>
          <w:tcPr>
            <w:tcW w:w="1715" w:type="dxa"/>
            <w:vAlign w:val="center"/>
          </w:tcPr>
          <w:p w14:paraId="4CCBDBD7" w14:textId="77777777" w:rsidR="00B43218" w:rsidRDefault="00B43218" w:rsidP="00151D6F">
            <w:pPr>
              <w:pStyle w:val="ad"/>
              <w:spacing w:beforeLines="0" w:afterLines="0"/>
              <w:jc w:val="center"/>
              <w:outlineLvl w:val="9"/>
              <w:rPr>
                <w:rFonts w:ascii="Times New Roman" w:eastAsia="宋体" w:hAnsi="宋体"/>
                <w:kern w:val="2"/>
                <w:szCs w:val="24"/>
              </w:rPr>
            </w:pPr>
          </w:p>
        </w:tc>
      </w:tr>
    </w:tbl>
    <w:p w14:paraId="283157EA" w14:textId="77777777" w:rsidR="00594288" w:rsidRPr="00B43218" w:rsidRDefault="00594288" w:rsidP="00594288">
      <w:pPr>
        <w:jc w:val="left"/>
        <w:rPr>
          <w:rFonts w:hint="eastAsia"/>
        </w:rPr>
      </w:pPr>
    </w:p>
    <w:p w14:paraId="77F1650F" w14:textId="7D1FE44D" w:rsidR="00594288" w:rsidRDefault="00594288" w:rsidP="00B43218">
      <w:pPr>
        <w:pStyle w:val="aa"/>
        <w:spacing w:before="312" w:after="312"/>
        <w:outlineLvl w:val="0"/>
        <w:rPr>
          <w:rFonts w:hAnsi="黑体" w:cs="Arial"/>
        </w:rPr>
      </w:pPr>
      <w:r w:rsidRPr="00AF2775">
        <w:rPr>
          <w:rFonts w:hAnsi="黑体" w:cs="Arial" w:hint="eastAsia"/>
        </w:rPr>
        <w:t xml:space="preserve">5 </w:t>
      </w:r>
      <w:r w:rsidR="00B43218" w:rsidRPr="00B43218">
        <w:rPr>
          <w:rFonts w:hAnsi="黑体" w:cs="Arial" w:hint="eastAsia"/>
        </w:rPr>
        <w:t>评价方法及等级划分</w:t>
      </w:r>
    </w:p>
    <w:p w14:paraId="3E80559B" w14:textId="77777777" w:rsidR="00B43218" w:rsidRDefault="00B43218" w:rsidP="00B43218">
      <w:pPr>
        <w:spacing w:line="400" w:lineRule="exact"/>
        <w:ind w:firstLineChars="200" w:firstLine="420"/>
        <w:rPr>
          <w:rFonts w:hAnsi="宋体"/>
          <w:szCs w:val="21"/>
        </w:rPr>
      </w:pPr>
      <w:r>
        <w:rPr>
          <w:rFonts w:hAnsi="宋体" w:hint="eastAsia"/>
          <w:szCs w:val="21"/>
        </w:rPr>
        <w:t>教室照明产品技术指标评价等级分为</w:t>
      </w:r>
      <w:r>
        <w:rPr>
          <w:rFonts w:hAnsi="宋体" w:hint="eastAsia"/>
          <w:szCs w:val="21"/>
        </w:rPr>
        <w:t>3</w:t>
      </w:r>
      <w:r>
        <w:rPr>
          <w:rFonts w:hAnsi="宋体" w:hint="eastAsia"/>
          <w:szCs w:val="21"/>
        </w:rPr>
        <w:t>级，其中三级为最低等级要求。一级、二级、三级为排行榜上榜产品，其中符合一级指标要求的为“领跑者”产品。各等级需满足的指标要求见表</w:t>
      </w:r>
      <w:r>
        <w:rPr>
          <w:rFonts w:hAnsi="宋体" w:hint="eastAsia"/>
          <w:szCs w:val="21"/>
        </w:rPr>
        <w:t>3</w:t>
      </w:r>
      <w:r>
        <w:rPr>
          <w:rFonts w:hAnsi="宋体" w:hint="eastAsia"/>
          <w:szCs w:val="21"/>
        </w:rPr>
        <w:t>，依据本标准给出的评价指标要求和试验方法的一致性程度进行评价。</w:t>
      </w:r>
    </w:p>
    <w:p w14:paraId="5C60E03E" w14:textId="77777777" w:rsidR="00B43218" w:rsidRDefault="00B43218" w:rsidP="00B43218">
      <w:pPr>
        <w:spacing w:line="400" w:lineRule="exact"/>
        <w:ind w:firstLineChars="200" w:firstLine="420"/>
        <w:jc w:val="center"/>
        <w:rPr>
          <w:rFonts w:hAnsi="宋体"/>
          <w:szCs w:val="21"/>
        </w:rPr>
      </w:pPr>
      <w:r>
        <w:rPr>
          <w:rFonts w:hAnsi="宋体" w:hint="eastAsia"/>
          <w:szCs w:val="21"/>
        </w:rPr>
        <w:t>表</w:t>
      </w:r>
      <w:r>
        <w:rPr>
          <w:rFonts w:hAnsi="宋体" w:hint="eastAsia"/>
          <w:szCs w:val="21"/>
        </w:rPr>
        <w:t xml:space="preserve">3 </w:t>
      </w:r>
      <w:r>
        <w:rPr>
          <w:rFonts w:hAnsi="宋体" w:hint="eastAsia"/>
          <w:szCs w:val="21"/>
        </w:rPr>
        <w:t>指标评价要求等级划分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4"/>
        <w:gridCol w:w="1914"/>
        <w:gridCol w:w="1914"/>
        <w:gridCol w:w="1914"/>
        <w:gridCol w:w="1914"/>
      </w:tblGrid>
      <w:tr w:rsidR="00B43218" w14:paraId="21BE4CC6" w14:textId="77777777" w:rsidTr="00151D6F">
        <w:trPr>
          <w:jc w:val="center"/>
        </w:trPr>
        <w:tc>
          <w:tcPr>
            <w:tcW w:w="1914" w:type="dxa"/>
            <w:vMerge w:val="restart"/>
            <w:vAlign w:val="center"/>
          </w:tcPr>
          <w:p w14:paraId="0B878890" w14:textId="77777777" w:rsidR="00B43218" w:rsidRDefault="00B43218" w:rsidP="00151D6F">
            <w:pPr>
              <w:spacing w:line="400" w:lineRule="exact"/>
              <w:jc w:val="center"/>
              <w:rPr>
                <w:rFonts w:ascii="宋体" w:hAnsi="宋体" w:hint="eastAsia"/>
                <w:szCs w:val="21"/>
              </w:rPr>
            </w:pPr>
            <w:r>
              <w:rPr>
                <w:rFonts w:ascii="宋体" w:hAnsi="宋体" w:hint="eastAsia"/>
                <w:szCs w:val="21"/>
              </w:rPr>
              <w:t>评价等级</w:t>
            </w:r>
          </w:p>
        </w:tc>
        <w:tc>
          <w:tcPr>
            <w:tcW w:w="7656" w:type="dxa"/>
            <w:gridSpan w:val="4"/>
            <w:vAlign w:val="center"/>
          </w:tcPr>
          <w:p w14:paraId="698EAE36" w14:textId="77777777" w:rsidR="00B43218" w:rsidRDefault="00B43218" w:rsidP="00151D6F">
            <w:pPr>
              <w:spacing w:line="400" w:lineRule="exact"/>
              <w:jc w:val="center"/>
              <w:rPr>
                <w:rFonts w:ascii="宋体" w:hAnsi="宋体" w:hint="eastAsia"/>
                <w:szCs w:val="21"/>
              </w:rPr>
            </w:pPr>
            <w:r>
              <w:rPr>
                <w:rFonts w:ascii="宋体" w:hAnsi="宋体" w:hint="eastAsia"/>
                <w:szCs w:val="21"/>
              </w:rPr>
              <w:t>满足条件</w:t>
            </w:r>
          </w:p>
        </w:tc>
      </w:tr>
      <w:tr w:rsidR="00B43218" w14:paraId="7E2A733D" w14:textId="77777777" w:rsidTr="00151D6F">
        <w:trPr>
          <w:jc w:val="center"/>
        </w:trPr>
        <w:tc>
          <w:tcPr>
            <w:tcW w:w="1914" w:type="dxa"/>
            <w:vMerge/>
            <w:vAlign w:val="center"/>
          </w:tcPr>
          <w:p w14:paraId="1C9404C6" w14:textId="77777777" w:rsidR="00B43218" w:rsidRDefault="00B43218" w:rsidP="00151D6F">
            <w:pPr>
              <w:spacing w:line="400" w:lineRule="exact"/>
              <w:jc w:val="center"/>
              <w:rPr>
                <w:rFonts w:ascii="宋体" w:hAnsi="宋体" w:hint="eastAsia"/>
                <w:szCs w:val="21"/>
              </w:rPr>
            </w:pPr>
          </w:p>
        </w:tc>
        <w:tc>
          <w:tcPr>
            <w:tcW w:w="1914" w:type="dxa"/>
            <w:vAlign w:val="center"/>
          </w:tcPr>
          <w:p w14:paraId="7587E649" w14:textId="77777777" w:rsidR="00B43218" w:rsidRDefault="00B43218" w:rsidP="00151D6F">
            <w:pPr>
              <w:spacing w:line="400" w:lineRule="exact"/>
              <w:jc w:val="center"/>
              <w:rPr>
                <w:rFonts w:ascii="宋体" w:hAnsi="宋体" w:hint="eastAsia"/>
                <w:szCs w:val="21"/>
              </w:rPr>
            </w:pPr>
            <w:r>
              <w:rPr>
                <w:rFonts w:ascii="宋体" w:hAnsi="宋体" w:hint="eastAsia"/>
                <w:szCs w:val="21"/>
              </w:rPr>
              <w:t>基本要求</w:t>
            </w:r>
          </w:p>
        </w:tc>
        <w:tc>
          <w:tcPr>
            <w:tcW w:w="1914" w:type="dxa"/>
            <w:vAlign w:val="center"/>
          </w:tcPr>
          <w:p w14:paraId="799A6DDC" w14:textId="77777777" w:rsidR="00B43218" w:rsidRDefault="00B43218" w:rsidP="00151D6F">
            <w:pPr>
              <w:spacing w:line="400" w:lineRule="exact"/>
              <w:jc w:val="center"/>
              <w:rPr>
                <w:rFonts w:ascii="宋体" w:hAnsi="宋体" w:hint="eastAsia"/>
                <w:szCs w:val="21"/>
              </w:rPr>
            </w:pPr>
            <w:r>
              <w:rPr>
                <w:rFonts w:ascii="宋体" w:hAnsi="宋体" w:hint="eastAsia"/>
                <w:szCs w:val="21"/>
              </w:rPr>
              <w:t>基础指标要求</w:t>
            </w:r>
          </w:p>
        </w:tc>
        <w:tc>
          <w:tcPr>
            <w:tcW w:w="1914" w:type="dxa"/>
            <w:vAlign w:val="center"/>
          </w:tcPr>
          <w:p w14:paraId="34758E21" w14:textId="77777777" w:rsidR="00B43218" w:rsidRDefault="00B43218" w:rsidP="00151D6F">
            <w:pPr>
              <w:spacing w:line="400" w:lineRule="exact"/>
              <w:jc w:val="center"/>
              <w:rPr>
                <w:rFonts w:ascii="宋体" w:hAnsi="宋体" w:hint="eastAsia"/>
                <w:szCs w:val="21"/>
              </w:rPr>
            </w:pPr>
            <w:r>
              <w:rPr>
                <w:rFonts w:ascii="宋体" w:hAnsi="宋体" w:hint="eastAsia"/>
                <w:szCs w:val="21"/>
              </w:rPr>
              <w:t>核心指标要求</w:t>
            </w:r>
          </w:p>
        </w:tc>
        <w:tc>
          <w:tcPr>
            <w:tcW w:w="1914" w:type="dxa"/>
            <w:vAlign w:val="center"/>
          </w:tcPr>
          <w:p w14:paraId="1CDA4F8C" w14:textId="77777777" w:rsidR="00B43218" w:rsidRDefault="00B43218" w:rsidP="00151D6F">
            <w:pPr>
              <w:spacing w:line="400" w:lineRule="exact"/>
              <w:jc w:val="center"/>
              <w:rPr>
                <w:rFonts w:ascii="宋体" w:hAnsi="宋体" w:hint="eastAsia"/>
                <w:szCs w:val="21"/>
              </w:rPr>
            </w:pPr>
            <w:r>
              <w:rPr>
                <w:rFonts w:ascii="宋体" w:hAnsi="宋体" w:hint="eastAsia"/>
                <w:szCs w:val="21"/>
              </w:rPr>
              <w:t>创新性指标要求</w:t>
            </w:r>
          </w:p>
        </w:tc>
      </w:tr>
      <w:tr w:rsidR="00B43218" w14:paraId="75BAA5ED" w14:textId="77777777" w:rsidTr="00151D6F">
        <w:trPr>
          <w:jc w:val="center"/>
        </w:trPr>
        <w:tc>
          <w:tcPr>
            <w:tcW w:w="1914" w:type="dxa"/>
            <w:vAlign w:val="center"/>
          </w:tcPr>
          <w:p w14:paraId="3D93F301" w14:textId="77777777" w:rsidR="00B43218" w:rsidRDefault="00B43218" w:rsidP="00151D6F">
            <w:pPr>
              <w:spacing w:line="400" w:lineRule="exact"/>
              <w:jc w:val="center"/>
              <w:rPr>
                <w:rFonts w:ascii="宋体" w:hAnsi="宋体" w:hint="eastAsia"/>
                <w:szCs w:val="21"/>
              </w:rPr>
            </w:pPr>
            <w:r>
              <w:rPr>
                <w:rFonts w:ascii="宋体" w:hAnsi="宋体" w:hint="eastAsia"/>
                <w:szCs w:val="21"/>
              </w:rPr>
              <w:t>一级应同时满足</w:t>
            </w:r>
          </w:p>
        </w:tc>
        <w:tc>
          <w:tcPr>
            <w:tcW w:w="1914" w:type="dxa"/>
            <w:vAlign w:val="center"/>
          </w:tcPr>
          <w:p w14:paraId="6FDE5357" w14:textId="77777777" w:rsidR="00B43218" w:rsidRDefault="00B43218" w:rsidP="00151D6F">
            <w:pPr>
              <w:spacing w:line="400" w:lineRule="exact"/>
              <w:jc w:val="center"/>
              <w:rPr>
                <w:rFonts w:ascii="宋体" w:hAnsi="宋体" w:hint="eastAsia"/>
                <w:szCs w:val="21"/>
              </w:rPr>
            </w:pPr>
            <w:r>
              <w:rPr>
                <w:rFonts w:ascii="宋体" w:hAnsi="宋体" w:hint="eastAsia"/>
                <w:szCs w:val="21"/>
              </w:rPr>
              <w:t>满足</w:t>
            </w:r>
          </w:p>
        </w:tc>
        <w:tc>
          <w:tcPr>
            <w:tcW w:w="1914" w:type="dxa"/>
            <w:vAlign w:val="center"/>
          </w:tcPr>
          <w:p w14:paraId="3F30129D" w14:textId="77777777" w:rsidR="00B43218" w:rsidRDefault="00B43218" w:rsidP="00151D6F">
            <w:pPr>
              <w:spacing w:line="400" w:lineRule="exact"/>
              <w:jc w:val="center"/>
              <w:rPr>
                <w:rFonts w:ascii="宋体" w:hAnsi="宋体" w:hint="eastAsia"/>
                <w:szCs w:val="21"/>
              </w:rPr>
            </w:pPr>
            <w:r>
              <w:rPr>
                <w:rFonts w:ascii="宋体" w:hAnsi="宋体" w:hint="eastAsia"/>
                <w:szCs w:val="21"/>
              </w:rPr>
              <w:t>满足</w:t>
            </w:r>
          </w:p>
        </w:tc>
        <w:tc>
          <w:tcPr>
            <w:tcW w:w="1914" w:type="dxa"/>
            <w:vAlign w:val="center"/>
          </w:tcPr>
          <w:p w14:paraId="3246DAFE" w14:textId="77777777" w:rsidR="00B43218" w:rsidRDefault="00B43218" w:rsidP="00151D6F">
            <w:pPr>
              <w:spacing w:line="400" w:lineRule="exact"/>
              <w:jc w:val="center"/>
              <w:rPr>
                <w:rFonts w:ascii="宋体" w:hAnsi="宋体" w:hint="eastAsia"/>
                <w:szCs w:val="21"/>
              </w:rPr>
            </w:pPr>
            <w:r>
              <w:rPr>
                <w:rFonts w:ascii="宋体" w:hAnsi="宋体" w:hint="eastAsia"/>
                <w:szCs w:val="21"/>
              </w:rPr>
              <w:t xml:space="preserve">先进水平 </w:t>
            </w:r>
          </w:p>
        </w:tc>
        <w:tc>
          <w:tcPr>
            <w:tcW w:w="1914" w:type="dxa"/>
            <w:vAlign w:val="center"/>
          </w:tcPr>
          <w:p w14:paraId="634C0076" w14:textId="77777777" w:rsidR="00B43218" w:rsidRDefault="00B43218" w:rsidP="00151D6F">
            <w:pPr>
              <w:spacing w:line="400" w:lineRule="exact"/>
              <w:jc w:val="center"/>
              <w:rPr>
                <w:rFonts w:ascii="宋体" w:hAnsi="宋体" w:hint="eastAsia"/>
                <w:szCs w:val="21"/>
              </w:rPr>
            </w:pPr>
            <w:r>
              <w:rPr>
                <w:rFonts w:ascii="宋体" w:hAnsi="宋体" w:hint="eastAsia"/>
                <w:szCs w:val="21"/>
              </w:rPr>
              <w:t>先进水平</w:t>
            </w:r>
          </w:p>
        </w:tc>
      </w:tr>
      <w:tr w:rsidR="00B43218" w14:paraId="7DC32E28" w14:textId="77777777" w:rsidTr="00151D6F">
        <w:trPr>
          <w:jc w:val="center"/>
        </w:trPr>
        <w:tc>
          <w:tcPr>
            <w:tcW w:w="1914" w:type="dxa"/>
            <w:vAlign w:val="center"/>
          </w:tcPr>
          <w:p w14:paraId="147C66FE" w14:textId="77777777" w:rsidR="00B43218" w:rsidRDefault="00B43218" w:rsidP="00151D6F">
            <w:pPr>
              <w:spacing w:line="400" w:lineRule="exact"/>
              <w:jc w:val="center"/>
              <w:rPr>
                <w:rFonts w:ascii="宋体" w:hAnsi="宋体" w:hint="eastAsia"/>
                <w:szCs w:val="21"/>
              </w:rPr>
            </w:pPr>
            <w:r>
              <w:rPr>
                <w:rFonts w:ascii="宋体" w:hAnsi="宋体" w:hint="eastAsia"/>
                <w:szCs w:val="21"/>
              </w:rPr>
              <w:t>二级应同时满足</w:t>
            </w:r>
          </w:p>
        </w:tc>
        <w:tc>
          <w:tcPr>
            <w:tcW w:w="1914" w:type="dxa"/>
            <w:vAlign w:val="center"/>
          </w:tcPr>
          <w:p w14:paraId="0387D55A" w14:textId="77777777" w:rsidR="00B43218" w:rsidRDefault="00B43218" w:rsidP="00151D6F">
            <w:pPr>
              <w:spacing w:line="400" w:lineRule="exact"/>
              <w:jc w:val="center"/>
              <w:rPr>
                <w:rFonts w:ascii="宋体" w:hAnsi="宋体" w:hint="eastAsia"/>
                <w:szCs w:val="21"/>
              </w:rPr>
            </w:pPr>
            <w:r>
              <w:rPr>
                <w:rFonts w:ascii="宋体" w:hAnsi="宋体" w:hint="eastAsia"/>
                <w:szCs w:val="21"/>
              </w:rPr>
              <w:t>满足</w:t>
            </w:r>
          </w:p>
        </w:tc>
        <w:tc>
          <w:tcPr>
            <w:tcW w:w="1914" w:type="dxa"/>
            <w:vAlign w:val="center"/>
          </w:tcPr>
          <w:p w14:paraId="0D107E38" w14:textId="77777777" w:rsidR="00B43218" w:rsidRDefault="00B43218" w:rsidP="00151D6F">
            <w:pPr>
              <w:spacing w:line="400" w:lineRule="exact"/>
              <w:jc w:val="center"/>
              <w:rPr>
                <w:rFonts w:ascii="宋体" w:hAnsi="宋体" w:hint="eastAsia"/>
                <w:szCs w:val="21"/>
              </w:rPr>
            </w:pPr>
            <w:r>
              <w:rPr>
                <w:rFonts w:ascii="宋体" w:hAnsi="宋体" w:hint="eastAsia"/>
                <w:szCs w:val="21"/>
              </w:rPr>
              <w:t>满足</w:t>
            </w:r>
          </w:p>
        </w:tc>
        <w:tc>
          <w:tcPr>
            <w:tcW w:w="1914" w:type="dxa"/>
            <w:vAlign w:val="center"/>
          </w:tcPr>
          <w:p w14:paraId="4CC6D760" w14:textId="77777777" w:rsidR="00B43218" w:rsidRDefault="00B43218" w:rsidP="00151D6F">
            <w:pPr>
              <w:spacing w:line="400" w:lineRule="exact"/>
              <w:jc w:val="center"/>
              <w:rPr>
                <w:rFonts w:ascii="宋体" w:hAnsi="宋体" w:hint="eastAsia"/>
                <w:szCs w:val="21"/>
              </w:rPr>
            </w:pPr>
            <w:r>
              <w:rPr>
                <w:rFonts w:ascii="宋体" w:hAnsi="宋体" w:hint="eastAsia"/>
                <w:szCs w:val="21"/>
              </w:rPr>
              <w:t>平均水平</w:t>
            </w:r>
          </w:p>
        </w:tc>
        <w:tc>
          <w:tcPr>
            <w:tcW w:w="1914" w:type="dxa"/>
            <w:vAlign w:val="center"/>
          </w:tcPr>
          <w:p w14:paraId="03415E16" w14:textId="77777777" w:rsidR="00B43218" w:rsidRDefault="00B43218" w:rsidP="00151D6F">
            <w:pPr>
              <w:spacing w:line="400" w:lineRule="exact"/>
              <w:jc w:val="center"/>
              <w:rPr>
                <w:rFonts w:ascii="宋体" w:hAnsi="宋体" w:hint="eastAsia"/>
                <w:szCs w:val="21"/>
              </w:rPr>
            </w:pPr>
            <w:r>
              <w:rPr>
                <w:rFonts w:ascii="宋体" w:hAnsi="宋体" w:hint="eastAsia"/>
                <w:szCs w:val="21"/>
              </w:rPr>
              <w:t>平均水平</w:t>
            </w:r>
          </w:p>
        </w:tc>
      </w:tr>
      <w:tr w:rsidR="00B43218" w14:paraId="58956088" w14:textId="77777777" w:rsidTr="00151D6F">
        <w:trPr>
          <w:jc w:val="center"/>
        </w:trPr>
        <w:tc>
          <w:tcPr>
            <w:tcW w:w="1914" w:type="dxa"/>
            <w:vAlign w:val="center"/>
          </w:tcPr>
          <w:p w14:paraId="43CEAF44" w14:textId="77777777" w:rsidR="00B43218" w:rsidRDefault="00B43218" w:rsidP="00151D6F">
            <w:pPr>
              <w:spacing w:line="400" w:lineRule="exact"/>
              <w:jc w:val="center"/>
              <w:rPr>
                <w:rFonts w:ascii="宋体" w:hAnsi="宋体" w:hint="eastAsia"/>
                <w:szCs w:val="21"/>
              </w:rPr>
            </w:pPr>
            <w:r>
              <w:rPr>
                <w:rFonts w:ascii="宋体" w:hAnsi="宋体" w:hint="eastAsia"/>
                <w:szCs w:val="21"/>
              </w:rPr>
              <w:t>三级应同时满足</w:t>
            </w:r>
          </w:p>
        </w:tc>
        <w:tc>
          <w:tcPr>
            <w:tcW w:w="1914" w:type="dxa"/>
            <w:vAlign w:val="center"/>
          </w:tcPr>
          <w:p w14:paraId="6B26A27C" w14:textId="77777777" w:rsidR="00B43218" w:rsidRDefault="00B43218" w:rsidP="00151D6F">
            <w:pPr>
              <w:spacing w:line="400" w:lineRule="exact"/>
              <w:jc w:val="center"/>
              <w:rPr>
                <w:rFonts w:ascii="宋体" w:hAnsi="宋体" w:hint="eastAsia"/>
                <w:szCs w:val="21"/>
              </w:rPr>
            </w:pPr>
            <w:r>
              <w:rPr>
                <w:rFonts w:ascii="宋体" w:hAnsi="宋体" w:hint="eastAsia"/>
                <w:szCs w:val="21"/>
              </w:rPr>
              <w:t>满足</w:t>
            </w:r>
          </w:p>
        </w:tc>
        <w:tc>
          <w:tcPr>
            <w:tcW w:w="1914" w:type="dxa"/>
            <w:vAlign w:val="center"/>
          </w:tcPr>
          <w:p w14:paraId="443466A2" w14:textId="77777777" w:rsidR="00B43218" w:rsidRDefault="00B43218" w:rsidP="00151D6F">
            <w:pPr>
              <w:spacing w:line="400" w:lineRule="exact"/>
              <w:jc w:val="center"/>
              <w:rPr>
                <w:rFonts w:ascii="宋体" w:hAnsi="宋体" w:hint="eastAsia"/>
                <w:szCs w:val="21"/>
              </w:rPr>
            </w:pPr>
            <w:r>
              <w:rPr>
                <w:rFonts w:ascii="宋体" w:hAnsi="宋体" w:hint="eastAsia"/>
                <w:szCs w:val="21"/>
              </w:rPr>
              <w:t>满足</w:t>
            </w:r>
          </w:p>
        </w:tc>
        <w:tc>
          <w:tcPr>
            <w:tcW w:w="1914" w:type="dxa"/>
            <w:vAlign w:val="center"/>
          </w:tcPr>
          <w:p w14:paraId="29522ACC" w14:textId="77777777" w:rsidR="00B43218" w:rsidRDefault="00B43218" w:rsidP="00151D6F">
            <w:pPr>
              <w:spacing w:line="400" w:lineRule="exact"/>
              <w:jc w:val="center"/>
              <w:rPr>
                <w:rFonts w:ascii="宋体" w:hAnsi="宋体" w:hint="eastAsia"/>
                <w:szCs w:val="21"/>
              </w:rPr>
            </w:pPr>
            <w:r>
              <w:rPr>
                <w:rFonts w:ascii="宋体" w:hAnsi="宋体" w:hint="eastAsia"/>
                <w:szCs w:val="21"/>
              </w:rPr>
              <w:t>基准水平</w:t>
            </w:r>
          </w:p>
        </w:tc>
        <w:tc>
          <w:tcPr>
            <w:tcW w:w="1914" w:type="dxa"/>
            <w:vAlign w:val="center"/>
          </w:tcPr>
          <w:p w14:paraId="504094B2" w14:textId="77777777" w:rsidR="00B43218" w:rsidRDefault="00B43218" w:rsidP="00151D6F">
            <w:pPr>
              <w:spacing w:line="400" w:lineRule="exact"/>
              <w:jc w:val="center"/>
              <w:rPr>
                <w:rFonts w:ascii="宋体" w:hAnsi="宋体" w:hint="eastAsia"/>
                <w:szCs w:val="21"/>
              </w:rPr>
            </w:pPr>
            <w:r>
              <w:rPr>
                <w:rFonts w:ascii="宋体" w:hAnsi="宋体" w:hint="eastAsia"/>
                <w:szCs w:val="21"/>
              </w:rPr>
              <w:t>/</w:t>
            </w:r>
          </w:p>
        </w:tc>
      </w:tr>
    </w:tbl>
    <w:p w14:paraId="4B8663A5" w14:textId="77777777" w:rsidR="00B43218" w:rsidRPr="00B43218" w:rsidRDefault="00B43218" w:rsidP="00B43218">
      <w:pPr>
        <w:rPr>
          <w:rFonts w:hint="eastAsia"/>
        </w:rPr>
      </w:pPr>
    </w:p>
    <w:p w14:paraId="6F7BDACE" w14:textId="046E52E9" w:rsidR="00594288" w:rsidRDefault="00594288" w:rsidP="00B43218">
      <w:pPr>
        <w:pStyle w:val="aa"/>
        <w:spacing w:beforeLines="0" w:afterLines="0"/>
        <w:outlineLvl w:val="0"/>
      </w:pPr>
    </w:p>
    <w:p w14:paraId="176F777C" w14:textId="2A47846C" w:rsidR="00B43218" w:rsidRDefault="00B43218" w:rsidP="00B43218"/>
    <w:p w14:paraId="5F593FA6" w14:textId="5B0A499C" w:rsidR="00B43218" w:rsidRDefault="00B43218" w:rsidP="00B43218">
      <w:pPr>
        <w:pStyle w:val="ab"/>
        <w:rPr>
          <w:rFonts w:hint="eastAsia"/>
        </w:rPr>
      </w:pPr>
      <w:r>
        <mc:AlternateContent>
          <mc:Choice Requires="wps">
            <w:drawing>
              <wp:anchor distT="0" distB="0" distL="114300" distR="114300" simplePos="0" relativeHeight="251664384" behindDoc="0" locked="0" layoutInCell="1" allowOverlap="1" wp14:anchorId="3E5BB5C6" wp14:editId="1F495338">
                <wp:simplePos x="0" y="0"/>
                <wp:positionH relativeFrom="column">
                  <wp:posOffset>1597025</wp:posOffset>
                </wp:positionH>
                <wp:positionV relativeFrom="paragraph">
                  <wp:posOffset>187325</wp:posOffset>
                </wp:positionV>
                <wp:extent cx="2021205" cy="635"/>
                <wp:effectExtent l="11430" t="12700" r="5715" b="571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635"/>
                        </a:xfrm>
                        <a:prstGeom prst="line">
                          <a:avLst/>
                        </a:prstGeom>
                        <a:noFill/>
                        <a:ln w="9525" cmpd="sng">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F52658" id="直接连接符 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75pt,14.75pt" to="284.9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"/>
            </w:pict>
          </mc:Fallback>
        </mc:AlternateContent>
      </w:r>
    </w:p>
    <w:p w14:paraId="7DEBB185" w14:textId="77777777" w:rsidR="00B43218" w:rsidRDefault="00B43218" w:rsidP="00B43218">
      <w:pPr>
        <w:pStyle w:val="ab"/>
        <w:rPr>
          <w:rFonts w:hint="eastAsia"/>
        </w:rPr>
      </w:pPr>
    </w:p>
    <w:p w14:paraId="560642F0" w14:textId="77777777" w:rsidR="00B43218" w:rsidRDefault="00B43218" w:rsidP="00B43218">
      <w:pPr>
        <w:pStyle w:val="af"/>
        <w:ind w:left="0" w:firstLine="0"/>
        <w:jc w:val="both"/>
        <w:outlineLvl w:val="9"/>
        <w:rPr>
          <w:rFonts w:hint="eastAsia"/>
          <w:color w:val="auto"/>
        </w:rPr>
      </w:pPr>
    </w:p>
    <w:p w14:paraId="14AFFBCD" w14:textId="77777777" w:rsidR="00B43218" w:rsidRPr="00B43218" w:rsidRDefault="00B43218" w:rsidP="00B43218">
      <w:pPr>
        <w:rPr>
          <w:rFonts w:hint="eastAsia"/>
        </w:rPr>
      </w:pPr>
    </w:p>
    <w:sectPr w:rsidR="00B43218" w:rsidRPr="00B43218" w:rsidSect="00D900C8">
      <w:pgSz w:w="11906" w:h="16838"/>
      <w:pgMar w:top="1418" w:right="1134"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1FC17" w14:textId="77777777" w:rsidR="00504256" w:rsidRDefault="00504256" w:rsidP="00CD7A43">
      <w:r>
        <w:separator/>
      </w:r>
    </w:p>
  </w:endnote>
  <w:endnote w:type="continuationSeparator" w:id="0">
    <w:p w14:paraId="4CC9E3A8" w14:textId="77777777" w:rsidR="00504256" w:rsidRDefault="00504256" w:rsidP="00CD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STZhongsong">
    <w:altName w:val="华文中宋"/>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95FEE" w14:textId="77777777" w:rsidR="00504256" w:rsidRDefault="00504256" w:rsidP="00CD7A43">
      <w:r>
        <w:separator/>
      </w:r>
    </w:p>
  </w:footnote>
  <w:footnote w:type="continuationSeparator" w:id="0">
    <w:p w14:paraId="45A295AA" w14:textId="77777777" w:rsidR="00504256" w:rsidRDefault="00504256" w:rsidP="00CD7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EB2E9" w14:textId="77777777" w:rsidR="00527DFE" w:rsidRPr="00527DFE" w:rsidRDefault="00527DFE" w:rsidP="00527DFE">
    <w:pPr>
      <w:pStyle w:val="a5"/>
      <w:pBdr>
        <w:bottom w:val="none" w:sz="0" w:space="0" w:color="auto"/>
      </w:pBdr>
      <w:jc w:val="right"/>
      <w:rPr>
        <w:rFonts w:ascii="Candara" w:hAnsi="Candara"/>
        <w:color w:val="FF0000"/>
        <w:sz w:val="21"/>
        <w:szCs w:val="21"/>
      </w:rPr>
    </w:pPr>
    <w:r w:rsidRPr="00AD5AA8">
      <w:rPr>
        <w:rFonts w:ascii="Candara" w:hAnsi="Candara" w:cs="宋体"/>
        <w:color w:val="000000"/>
        <w:kern w:val="0"/>
        <w:szCs w:val="21"/>
      </w:rPr>
      <w:t>T/</w:t>
    </w:r>
    <w:r w:rsidR="00487795">
      <w:rPr>
        <w:rFonts w:ascii="Candara" w:hAnsi="Candara" w:cs="宋体"/>
        <w:color w:val="FF0000"/>
        <w:kern w:val="0"/>
        <w:szCs w:val="21"/>
      </w:rPr>
      <w:t>EES</w:t>
    </w:r>
    <w:r w:rsidR="00C41D75">
      <w:rPr>
        <w:rFonts w:ascii="Candara" w:hAnsi="Candara" w:cs="宋体"/>
        <w:color w:val="FF0000"/>
        <w:kern w:val="0"/>
        <w:szCs w:val="21"/>
      </w:rPr>
      <w:t xml:space="preserve"> </w:t>
    </w:r>
    <w:proofErr w:type="spellStart"/>
    <w:r w:rsidR="00C41D75">
      <w:rPr>
        <w:rFonts w:ascii="Candara" w:hAnsi="Candara" w:hint="eastAsia"/>
        <w:color w:val="FF0000"/>
        <w:sz w:val="21"/>
        <w:szCs w:val="21"/>
      </w:rPr>
      <w:t>xxxx</w:t>
    </w:r>
    <w:proofErr w:type="spellEnd"/>
    <w:r w:rsidRPr="00AD5AA8">
      <w:rPr>
        <w:rFonts w:ascii="Candara" w:hAnsi="Candara"/>
        <w:color w:val="FF0000"/>
        <w:sz w:val="21"/>
        <w:szCs w:val="21"/>
      </w:rPr>
      <w:t>—</w:t>
    </w:r>
    <w:r w:rsidR="00487795">
      <w:rPr>
        <w:rFonts w:ascii="Candara" w:hAnsi="Candara"/>
        <w:color w:val="FF0000"/>
        <w:sz w:val="21"/>
        <w:szCs w:val="21"/>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6F5793"/>
    <w:multiLevelType w:val="multilevel"/>
    <w:tmpl w:val="216F5793"/>
    <w:lvl w:ilvl="0">
      <w:start w:val="4"/>
      <w:numFmt w:val="decimal"/>
      <w:lvlText w:val="%1"/>
      <w:lvlJc w:val="left"/>
      <w:pPr>
        <w:ind w:left="360" w:hanging="360"/>
      </w:pPr>
      <w:rPr>
        <w:rFonts w:hint="default"/>
      </w:rPr>
    </w:lvl>
    <w:lvl w:ilvl="1">
      <w:start w:val="1"/>
      <w:numFmt w:val="decimal"/>
      <w:lvlText w:val="4.%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BC6"/>
    <w:rsid w:val="0003332B"/>
    <w:rsid w:val="00057197"/>
    <w:rsid w:val="0008236C"/>
    <w:rsid w:val="000F5A40"/>
    <w:rsid w:val="001D78CB"/>
    <w:rsid w:val="00202959"/>
    <w:rsid w:val="00257660"/>
    <w:rsid w:val="002B4AE6"/>
    <w:rsid w:val="00365C01"/>
    <w:rsid w:val="00415A92"/>
    <w:rsid w:val="00487795"/>
    <w:rsid w:val="00504256"/>
    <w:rsid w:val="00527DFE"/>
    <w:rsid w:val="00594288"/>
    <w:rsid w:val="005D5107"/>
    <w:rsid w:val="006052BB"/>
    <w:rsid w:val="0061304C"/>
    <w:rsid w:val="006F4E1C"/>
    <w:rsid w:val="00723F15"/>
    <w:rsid w:val="00860016"/>
    <w:rsid w:val="008B04BA"/>
    <w:rsid w:val="009F5213"/>
    <w:rsid w:val="00A24F9B"/>
    <w:rsid w:val="00A65EA4"/>
    <w:rsid w:val="00A84E00"/>
    <w:rsid w:val="00AE5C0A"/>
    <w:rsid w:val="00AF2775"/>
    <w:rsid w:val="00B43218"/>
    <w:rsid w:val="00B44DA6"/>
    <w:rsid w:val="00B721FE"/>
    <w:rsid w:val="00C41D75"/>
    <w:rsid w:val="00CA64F3"/>
    <w:rsid w:val="00CB1AE8"/>
    <w:rsid w:val="00CD7A43"/>
    <w:rsid w:val="00D327AB"/>
    <w:rsid w:val="00D900C8"/>
    <w:rsid w:val="00EC2BC6"/>
    <w:rsid w:val="00FD54A1"/>
    <w:rsid w:val="5D590002"/>
    <w:rsid w:val="79974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FE01DCA"/>
  <w15:docId w15:val="{0A130ED7-0406-4188-A9DC-AD5F6C4D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E00"/>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84E00"/>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rsid w:val="00A84E0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semiHidden/>
    <w:rsid w:val="00A84E00"/>
    <w:rPr>
      <w:sz w:val="18"/>
      <w:szCs w:val="18"/>
    </w:rPr>
  </w:style>
  <w:style w:type="character" w:customStyle="1" w:styleId="a4">
    <w:name w:val="页脚 字符"/>
    <w:basedOn w:val="a0"/>
    <w:link w:val="a3"/>
    <w:uiPriority w:val="99"/>
    <w:semiHidden/>
    <w:rsid w:val="00A84E00"/>
    <w:rPr>
      <w:sz w:val="18"/>
      <w:szCs w:val="18"/>
    </w:rPr>
  </w:style>
  <w:style w:type="paragraph" w:customStyle="1" w:styleId="a7">
    <w:name w:val="封面标准名称"/>
    <w:qFormat/>
    <w:rsid w:val="00A84E00"/>
    <w:pPr>
      <w:widowControl w:val="0"/>
      <w:spacing w:line="680" w:lineRule="exact"/>
      <w:jc w:val="center"/>
      <w:textAlignment w:val="center"/>
    </w:pPr>
    <w:rPr>
      <w:rFonts w:ascii="黑体" w:eastAsia="黑体" w:hAnsi="Times New Roman" w:cs="Times New Roman"/>
      <w:sz w:val="52"/>
    </w:rPr>
  </w:style>
  <w:style w:type="paragraph" w:customStyle="1" w:styleId="a8">
    <w:name w:val="前言、引言标题"/>
    <w:next w:val="a"/>
    <w:uiPriority w:val="99"/>
    <w:rsid w:val="00594288"/>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9">
    <w:name w:val="目次、标准名称标题"/>
    <w:basedOn w:val="a"/>
    <w:next w:val="a"/>
    <w:uiPriority w:val="99"/>
    <w:rsid w:val="00594288"/>
    <w:pPr>
      <w:keepNext/>
      <w:pageBreakBefore/>
      <w:widowControl/>
      <w:shd w:val="clear" w:color="FFFFFF" w:fill="FFFFFF"/>
      <w:spacing w:before="640" w:after="560" w:line="460" w:lineRule="exact"/>
      <w:jc w:val="center"/>
      <w:outlineLvl w:val="0"/>
    </w:pPr>
    <w:rPr>
      <w:rFonts w:ascii="黑体" w:eastAsia="黑体" w:hAnsi="Times New Roman"/>
      <w:kern w:val="0"/>
      <w:sz w:val="32"/>
      <w:szCs w:val="20"/>
    </w:rPr>
  </w:style>
  <w:style w:type="paragraph" w:customStyle="1" w:styleId="aa">
    <w:name w:val="章标题"/>
    <w:next w:val="a"/>
    <w:rsid w:val="00594288"/>
    <w:pPr>
      <w:spacing w:beforeLines="100" w:afterLines="100"/>
      <w:jc w:val="both"/>
      <w:outlineLvl w:val="1"/>
    </w:pPr>
    <w:rPr>
      <w:rFonts w:ascii="黑体" w:eastAsia="黑体" w:hAnsi="Times New Roman" w:cs="Times New Roman"/>
      <w:sz w:val="21"/>
    </w:rPr>
  </w:style>
  <w:style w:type="paragraph" w:customStyle="1" w:styleId="ab">
    <w:name w:val="段"/>
    <w:link w:val="Char"/>
    <w:qFormat/>
    <w:rsid w:val="00594288"/>
    <w:pPr>
      <w:tabs>
        <w:tab w:val="center" w:pos="4201"/>
        <w:tab w:val="right" w:leader="dot" w:pos="9298"/>
      </w:tabs>
      <w:autoSpaceDE w:val="0"/>
      <w:autoSpaceDN w:val="0"/>
      <w:ind w:firstLineChars="200" w:firstLine="420"/>
      <w:jc w:val="both"/>
    </w:pPr>
    <w:rPr>
      <w:rFonts w:ascii="宋体" w:eastAsia="宋体" w:hAnsi="Times New Roman" w:cs="Times New Roman"/>
      <w:noProof/>
      <w:sz w:val="21"/>
    </w:rPr>
  </w:style>
  <w:style w:type="character" w:customStyle="1" w:styleId="Char">
    <w:name w:val="段 Char"/>
    <w:link w:val="ab"/>
    <w:qFormat/>
    <w:rsid w:val="00594288"/>
    <w:rPr>
      <w:rFonts w:ascii="宋体" w:eastAsia="宋体" w:hAnsi="Times New Roman" w:cs="Times New Roman"/>
      <w:noProof/>
      <w:sz w:val="21"/>
    </w:rPr>
  </w:style>
  <w:style w:type="character" w:styleId="ac">
    <w:name w:val="FollowedHyperlink"/>
    <w:rsid w:val="00B43218"/>
    <w:rPr>
      <w:color w:val="800080"/>
      <w:u w:val="single"/>
    </w:rPr>
  </w:style>
  <w:style w:type="paragraph" w:customStyle="1" w:styleId="ad">
    <w:name w:val="一级条标题"/>
    <w:next w:val="ab"/>
    <w:qFormat/>
    <w:rsid w:val="00B43218"/>
    <w:pPr>
      <w:spacing w:beforeLines="50" w:afterLines="50"/>
      <w:outlineLvl w:val="2"/>
    </w:pPr>
    <w:rPr>
      <w:rFonts w:ascii="黑体" w:eastAsia="黑体" w:hAnsi="Times New Roman" w:cs="Times New Roman"/>
      <w:sz w:val="21"/>
      <w:szCs w:val="21"/>
    </w:rPr>
  </w:style>
  <w:style w:type="paragraph" w:styleId="ae">
    <w:name w:val="List Paragraph"/>
    <w:basedOn w:val="a"/>
    <w:uiPriority w:val="99"/>
    <w:rsid w:val="00B43218"/>
    <w:pPr>
      <w:ind w:firstLineChars="200" w:firstLine="420"/>
    </w:pPr>
  </w:style>
  <w:style w:type="paragraph" w:customStyle="1" w:styleId="af">
    <w:name w:val="附录表标号"/>
    <w:basedOn w:val="a"/>
    <w:next w:val="ab"/>
    <w:rsid w:val="00B43218"/>
    <w:pPr>
      <w:spacing w:line="14" w:lineRule="exact"/>
      <w:ind w:left="811" w:hanging="448"/>
      <w:jc w:val="center"/>
      <w:outlineLvl w:val="0"/>
    </w:pPr>
    <w:rPr>
      <w:rFonts w:ascii="Times New Roman" w:hAnsi="Times New Roman"/>
      <w:color w:val="FFFF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F3F25D-719E-49C8-8F80-B444CFC90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630</Words>
  <Characters>3594</Characters>
  <Application>Microsoft Office Word</Application>
  <DocSecurity>0</DocSecurity>
  <Lines>29</Lines>
  <Paragraphs>8</Paragraphs>
  <ScaleCrop>false</ScaleCrop>
  <Company>CNIS</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曹 宁</cp:lastModifiedBy>
  <cp:revision>2</cp:revision>
  <dcterms:created xsi:type="dcterms:W3CDTF">2020-07-03T06:37:00Z</dcterms:created>
  <dcterms:modified xsi:type="dcterms:W3CDTF">2020-07-03T06:37:00Z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