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07198" w14:textId="77777777" w:rsidR="00415A92" w:rsidRPr="00594288" w:rsidRDefault="00AF2775">
      <w:pPr>
        <w:spacing w:line="360" w:lineRule="auto"/>
        <w:rPr>
          <w:rFonts w:ascii="黑体" w:eastAsia="黑体" w:hAnsi="黑体"/>
          <w:kern w:val="0"/>
          <w:sz w:val="28"/>
          <w:szCs w:val="28"/>
        </w:rPr>
      </w:pPr>
      <w:r w:rsidRPr="00594288">
        <w:rPr>
          <w:rFonts w:ascii="黑体" w:eastAsia="黑体" w:hAnsi="黑体"/>
          <w:noProof/>
          <w:kern w:val="0"/>
        </w:rPr>
        <mc:AlternateContent>
          <mc:Choice Requires="wps">
            <w:drawing>
              <wp:anchor distT="0" distB="0" distL="114300" distR="114300" simplePos="0" relativeHeight="251662336" behindDoc="0" locked="0" layoutInCell="1" allowOverlap="1" wp14:anchorId="7D85FBFB" wp14:editId="1820C2CC">
                <wp:simplePos x="0" y="0"/>
                <wp:positionH relativeFrom="column">
                  <wp:posOffset>113665</wp:posOffset>
                </wp:positionH>
                <wp:positionV relativeFrom="paragraph">
                  <wp:posOffset>293370</wp:posOffset>
                </wp:positionV>
                <wp:extent cx="2097405" cy="428625"/>
                <wp:effectExtent l="0" t="0" r="5080" b="0"/>
                <wp:wrapNone/>
                <wp:docPr id="1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428625"/>
                        </a:xfrm>
                        <a:prstGeom prst="rect">
                          <a:avLst/>
                        </a:prstGeom>
                        <a:solidFill>
                          <a:srgbClr val="FFFFFF"/>
                        </a:solidFill>
                        <a:ln w="9525">
                          <a:solidFill>
                            <a:sysClr val="window" lastClr="FFFFFF">
                              <a:lumMod val="100000"/>
                              <a:lumOff val="0"/>
                            </a:sysClr>
                          </a:solidFill>
                          <a:miter lim="800000"/>
                        </a:ln>
                      </wps:spPr>
                      <wps:txbx>
                        <w:txbxContent>
                          <w:p w14:paraId="0BCD7425" w14:textId="77777777" w:rsidR="00415A92" w:rsidRDefault="00A24F9B" w:rsidP="00365C01">
                            <w:pPr>
                              <w:spacing w:beforeLines="50" w:before="156" w:line="360" w:lineRule="exact"/>
                              <w:jc w:val="left"/>
                              <w:rPr>
                                <w:rFonts w:ascii="宋体" w:hAnsi="宋体"/>
                                <w:color w:val="000000"/>
                                <w:kern w:val="0"/>
                                <w:sz w:val="24"/>
                                <w:szCs w:val="24"/>
                                <w:shd w:val="clear" w:color="auto" w:fill="FFFFFF"/>
                              </w:rPr>
                            </w:pPr>
                            <w:r>
                              <w:rPr>
                                <w:rFonts w:ascii="宋体" w:hAnsi="宋体" w:hint="eastAsia"/>
                                <w:color w:val="000000"/>
                                <w:kern w:val="0"/>
                                <w:sz w:val="24"/>
                                <w:szCs w:val="24"/>
                                <w:shd w:val="clear" w:color="auto" w:fill="FFFFFF"/>
                              </w:rPr>
                              <w:t xml:space="preserve">ICS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D85FBFB" id="_x0000_t202" coordsize="21600,21600" o:spt="202" path="m,l,21600r21600,l21600,xe">
                <v:stroke joinstyle="miter"/>
                <v:path gradientshapeok="t" o:connecttype="rect"/>
              </v:shapetype>
              <v:shape id="文本框 2" o:spid="_x0000_s1026" type="#_x0000_t202" style="position:absolute;left:0;text-align:left;margin-left:8.95pt;margin-top:23.1pt;width:165.15pt;height:33.7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" strokecolor="white">
                <v:textbox style="mso-fit-shape-to-text:t">
                  <w:txbxContent>
                    <w:p w14:paraId="0BCD7425" w14:textId="77777777" w:rsidR="00415A92" w:rsidRDefault="00A24F9B" w:rsidP="00365C01">
                      <w:pPr>
                        <w:spacing w:beforeLines="50" w:before="156" w:line="360" w:lineRule="exact"/>
                        <w:jc w:val="left"/>
                        <w:rPr>
                          <w:rFonts w:ascii="宋体" w:hAnsi="宋体"/>
                          <w:color w:val="000000"/>
                          <w:kern w:val="0"/>
                          <w:sz w:val="24"/>
                          <w:szCs w:val="24"/>
                          <w:shd w:val="clear" w:color="auto" w:fill="FFFFFF"/>
                        </w:rPr>
                      </w:pPr>
                      <w:r>
                        <w:rPr>
                          <w:rFonts w:ascii="宋体" w:hAnsi="宋体" w:hint="eastAsia"/>
                          <w:color w:val="000000"/>
                          <w:kern w:val="0"/>
                          <w:sz w:val="24"/>
                          <w:szCs w:val="24"/>
                          <w:shd w:val="clear" w:color="auto" w:fill="FFFFFF"/>
                        </w:rPr>
                        <w:t xml:space="preserve">ICS </w:t>
                      </w:r>
                    </w:p>
                  </w:txbxContent>
                </v:textbox>
              </v:shape>
            </w:pict>
          </mc:Fallback>
        </mc:AlternateContent>
      </w:r>
    </w:p>
    <w:p w14:paraId="3E12AEE2" w14:textId="77777777" w:rsidR="00415A92" w:rsidRPr="00594288" w:rsidRDefault="00415A92">
      <w:pPr>
        <w:spacing w:line="360" w:lineRule="auto"/>
        <w:ind w:firstLineChars="200" w:firstLine="420"/>
        <w:rPr>
          <w:kern w:val="0"/>
        </w:rPr>
      </w:pPr>
    </w:p>
    <w:p w14:paraId="6DCBE5B2" w14:textId="77777777" w:rsidR="00415A92" w:rsidRPr="00594288" w:rsidRDefault="00A24F9B">
      <w:pPr>
        <w:spacing w:line="360" w:lineRule="auto"/>
        <w:ind w:firstLineChars="150" w:firstLine="360"/>
        <w:rPr>
          <w:rFonts w:ascii="宋体" w:hAnsi="宋体"/>
          <w:kern w:val="0"/>
          <w:sz w:val="24"/>
          <w:szCs w:val="24"/>
        </w:rPr>
      </w:pPr>
      <w:r w:rsidRPr="00594288">
        <w:rPr>
          <w:rFonts w:ascii="宋体" w:hAnsi="宋体" w:hint="eastAsia"/>
          <w:kern w:val="0"/>
          <w:sz w:val="24"/>
          <w:szCs w:val="24"/>
        </w:rPr>
        <w:t>中国标准文献分类号</w:t>
      </w:r>
    </w:p>
    <w:p w14:paraId="4237D673" w14:textId="77777777" w:rsidR="00415A92" w:rsidRPr="00594288" w:rsidRDefault="00415A92">
      <w:pPr>
        <w:rPr>
          <w:kern w:val="0"/>
          <w:sz w:val="28"/>
          <w:szCs w:val="28"/>
        </w:rPr>
      </w:pPr>
    </w:p>
    <w:p w14:paraId="732ACC1F" w14:textId="77777777" w:rsidR="00415A92" w:rsidRPr="00594288" w:rsidRDefault="00A24F9B">
      <w:pPr>
        <w:jc w:val="center"/>
        <w:rPr>
          <w:rFonts w:ascii="黑体" w:eastAsia="黑体" w:hAnsi="黑体"/>
          <w:kern w:val="0"/>
          <w:sz w:val="84"/>
          <w:szCs w:val="84"/>
        </w:rPr>
      </w:pPr>
      <w:r w:rsidRPr="00594288">
        <w:rPr>
          <w:rFonts w:ascii="黑体" w:eastAsia="黑体" w:hAnsi="黑体" w:hint="eastAsia"/>
          <w:kern w:val="0"/>
          <w:sz w:val="84"/>
          <w:szCs w:val="84"/>
        </w:rPr>
        <w:t>团   体   标   准</w:t>
      </w:r>
    </w:p>
    <w:p w14:paraId="4BE5B301" w14:textId="77777777" w:rsidR="00AE5C0A" w:rsidRPr="00594288" w:rsidRDefault="00CA64F3" w:rsidP="00860016">
      <w:pPr>
        <w:ind w:rightChars="-500" w:right="-1050"/>
        <w:jc w:val="right"/>
        <w:rPr>
          <w:rFonts w:ascii="Times New Roman" w:eastAsia="方正小标宋简体" w:hAnsi="Times New Roman"/>
          <w:b/>
          <w:kern w:val="0"/>
          <w:sz w:val="32"/>
          <w:szCs w:val="32"/>
        </w:rPr>
      </w:pPr>
      <w:r w:rsidRPr="00594288">
        <w:rPr>
          <w:noProof/>
          <w:kern w:val="0"/>
        </w:rPr>
        <mc:AlternateContent>
          <mc:Choice Requires="wps">
            <w:drawing>
              <wp:anchor distT="4294967295" distB="4294967295" distL="114300" distR="114300" simplePos="0" relativeHeight="251660288" behindDoc="0" locked="0" layoutInCell="1" allowOverlap="1" wp14:anchorId="3BDDD444" wp14:editId="48250B78">
                <wp:simplePos x="0" y="0"/>
                <wp:positionH relativeFrom="column">
                  <wp:posOffset>-183833</wp:posOffset>
                </wp:positionH>
                <wp:positionV relativeFrom="paragraph">
                  <wp:posOffset>414020</wp:posOffset>
                </wp:positionV>
                <wp:extent cx="6098540" cy="0"/>
                <wp:effectExtent l="0" t="0" r="0" b="0"/>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8540"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w14:anchorId="568AB956" id="_x0000_t32" coordsize="21600,21600" o:spt="32" o:oned="t" path="m,l21600,21600e" filled="f">
                <v:path arrowok="t" fillok="f" o:connecttype="none"/>
                <o:lock v:ext="edit" shapetype="t"/>
              </v:shapetype>
              <v:shape id="AutoShape 2" o:spid="_x0000_s1026" type="#_x0000_t32" style="position:absolute;left:0;text-align:left;margin-left:-14.5pt;margin-top:32.6pt;width:480.2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"/>
            </w:pict>
          </mc:Fallback>
        </mc:AlternateContent>
      </w:r>
      <w:r w:rsidR="00AE5C0A" w:rsidRPr="00594288">
        <w:rPr>
          <w:rFonts w:ascii="Times New Roman" w:eastAsia="方正小标宋简体" w:hAnsi="Times New Roman" w:hint="eastAsia"/>
          <w:b/>
          <w:kern w:val="0"/>
          <w:sz w:val="32"/>
          <w:szCs w:val="32"/>
        </w:rPr>
        <w:t>T/</w:t>
      </w:r>
      <w:r w:rsidR="00487795">
        <w:rPr>
          <w:rFonts w:ascii="Times New Roman" w:eastAsia="方正小标宋简体" w:hAnsi="Times New Roman"/>
          <w:b/>
          <w:kern w:val="0"/>
          <w:sz w:val="32"/>
          <w:szCs w:val="32"/>
        </w:rPr>
        <w:t>EES</w:t>
      </w:r>
      <w:r w:rsidR="00AE5C0A" w:rsidRPr="00594288">
        <w:rPr>
          <w:rFonts w:ascii="Times New Roman" w:eastAsia="方正小标宋简体" w:hAnsi="Times New Roman" w:hint="eastAsia"/>
          <w:b/>
          <w:kern w:val="0"/>
          <w:sz w:val="32"/>
          <w:szCs w:val="32"/>
        </w:rPr>
        <w:t xml:space="preserve"> </w:t>
      </w:r>
      <w:proofErr w:type="spellStart"/>
      <w:r>
        <w:rPr>
          <w:rFonts w:ascii="Times New Roman" w:eastAsia="方正小标宋简体" w:hAnsi="Times New Roman" w:hint="eastAsia"/>
          <w:b/>
          <w:kern w:val="0"/>
          <w:sz w:val="32"/>
          <w:szCs w:val="32"/>
        </w:rPr>
        <w:t>xxxx</w:t>
      </w:r>
      <w:proofErr w:type="spellEnd"/>
      <w:r w:rsidR="00AE5C0A" w:rsidRPr="00594288">
        <w:rPr>
          <w:rFonts w:ascii="Times New Roman" w:eastAsia="方正小标宋简体" w:hAnsi="Times New Roman" w:hint="eastAsia"/>
          <w:b/>
          <w:kern w:val="0"/>
          <w:sz w:val="32"/>
          <w:szCs w:val="32"/>
        </w:rPr>
        <w:t>—</w:t>
      </w:r>
      <w:proofErr w:type="spellStart"/>
      <w:r>
        <w:rPr>
          <w:rFonts w:ascii="Times New Roman" w:eastAsia="方正小标宋简体" w:hAnsi="Times New Roman" w:hint="eastAsia"/>
          <w:b/>
          <w:kern w:val="0"/>
          <w:sz w:val="32"/>
          <w:szCs w:val="32"/>
        </w:rPr>
        <w:t>xxxx</w:t>
      </w:r>
      <w:proofErr w:type="spellEnd"/>
    </w:p>
    <w:p w14:paraId="4610FD03" w14:textId="77777777" w:rsidR="00415A92" w:rsidRPr="00594288" w:rsidRDefault="00415A92">
      <w:pPr>
        <w:rPr>
          <w:kern w:val="0"/>
        </w:rPr>
      </w:pPr>
    </w:p>
    <w:p w14:paraId="14C73927" w14:textId="77777777" w:rsidR="00415A92" w:rsidRPr="00594288" w:rsidRDefault="00415A92">
      <w:pPr>
        <w:rPr>
          <w:kern w:val="0"/>
        </w:rPr>
      </w:pPr>
    </w:p>
    <w:p w14:paraId="39E85793" w14:textId="77777777" w:rsidR="00415A92" w:rsidRPr="00594288" w:rsidRDefault="00415A92">
      <w:pPr>
        <w:rPr>
          <w:kern w:val="0"/>
        </w:rPr>
      </w:pPr>
    </w:p>
    <w:p w14:paraId="2174640B" w14:textId="77777777" w:rsidR="00415A92" w:rsidRPr="00594288" w:rsidRDefault="00415A92">
      <w:pPr>
        <w:rPr>
          <w:kern w:val="0"/>
        </w:rPr>
      </w:pPr>
    </w:p>
    <w:p w14:paraId="092EB1F9" w14:textId="77777777" w:rsidR="00415A92" w:rsidRPr="00594288" w:rsidRDefault="00415A92">
      <w:pPr>
        <w:rPr>
          <w:kern w:val="0"/>
        </w:rPr>
      </w:pPr>
    </w:p>
    <w:p w14:paraId="5F6E44DE" w14:textId="77777777" w:rsidR="00415A92" w:rsidRPr="00594288" w:rsidRDefault="00415A92">
      <w:pPr>
        <w:rPr>
          <w:kern w:val="0"/>
        </w:rPr>
      </w:pPr>
    </w:p>
    <w:p w14:paraId="29F74785" w14:textId="1BD9A02B" w:rsidR="00A332E9" w:rsidRPr="00594288" w:rsidRDefault="00A332E9" w:rsidP="00A332E9">
      <w:pPr>
        <w:pStyle w:val="a7"/>
        <w:framePr w:w="9639" w:h="2732" w:hRule="exact" w:wrap="around" w:vAnchor="page" w:hAnchor="page" w:x="1391" w:y="6481" w:anchorLock="1"/>
      </w:pPr>
      <w:r w:rsidRPr="00A332E9">
        <w:rPr>
          <w:rFonts w:hint="eastAsia"/>
        </w:rPr>
        <w:t>“领跑者”标准评价要求 采暖散热器</w:t>
      </w:r>
    </w:p>
    <w:p w14:paraId="35363714" w14:textId="77777777" w:rsidR="00A332E9" w:rsidRDefault="00A332E9" w:rsidP="00A332E9">
      <w:pPr>
        <w:framePr w:w="9639" w:h="2732" w:hRule="exact" w:wrap="around" w:vAnchor="page" w:hAnchor="page" w:x="1391" w:y="6481" w:anchorLock="1"/>
        <w:spacing w:beforeLines="50" w:before="156" w:line="360" w:lineRule="exact"/>
        <w:jc w:val="center"/>
        <w:rPr>
          <w:rFonts w:ascii="Times New Roman" w:hAnsi="Times New Roman"/>
          <w:color w:val="000000"/>
          <w:kern w:val="0"/>
          <w:sz w:val="28"/>
          <w:szCs w:val="28"/>
          <w:shd w:val="clear" w:color="auto" w:fill="FFFFFF"/>
        </w:rPr>
      </w:pPr>
    </w:p>
    <w:p w14:paraId="5DE9C984" w14:textId="06E25DD4" w:rsidR="00A332E9" w:rsidRDefault="00A332E9" w:rsidP="00A332E9">
      <w:pPr>
        <w:framePr w:w="9639" w:h="2732" w:hRule="exact" w:wrap="around" w:vAnchor="page" w:hAnchor="page" w:x="1391" w:y="6481" w:anchorLock="1"/>
        <w:spacing w:beforeLines="50" w:before="156" w:line="360" w:lineRule="exact"/>
        <w:jc w:val="center"/>
        <w:rPr>
          <w:rFonts w:ascii="Times New Roman" w:hAnsi="Times New Roman"/>
          <w:color w:val="000000"/>
          <w:kern w:val="0"/>
          <w:sz w:val="28"/>
          <w:szCs w:val="28"/>
          <w:shd w:val="clear" w:color="auto" w:fill="FFFFFF"/>
        </w:rPr>
      </w:pPr>
      <w:r w:rsidRPr="00A332E9">
        <w:rPr>
          <w:rFonts w:ascii="Times New Roman" w:hAnsi="Times New Roman"/>
          <w:color w:val="000000"/>
          <w:kern w:val="0"/>
          <w:sz w:val="28"/>
          <w:szCs w:val="28"/>
          <w:shd w:val="clear" w:color="auto" w:fill="FFFFFF"/>
        </w:rPr>
        <w:t xml:space="preserve">Assessment requirements for enterprise forerunner standards </w:t>
      </w:r>
      <w:r>
        <w:rPr>
          <w:rFonts w:ascii="Times New Roman" w:hAnsi="Times New Roman"/>
          <w:color w:val="000000"/>
          <w:kern w:val="0"/>
          <w:sz w:val="28"/>
          <w:szCs w:val="28"/>
          <w:shd w:val="clear" w:color="auto" w:fill="FFFFFF"/>
        </w:rPr>
        <w:t>–</w:t>
      </w:r>
      <w:r w:rsidRPr="00A332E9">
        <w:rPr>
          <w:rFonts w:ascii="Times New Roman" w:hAnsi="Times New Roman"/>
          <w:color w:val="000000"/>
          <w:kern w:val="0"/>
          <w:sz w:val="28"/>
          <w:szCs w:val="28"/>
          <w:shd w:val="clear" w:color="auto" w:fill="FFFFFF"/>
        </w:rPr>
        <w:t xml:space="preserve"> Radiator</w:t>
      </w:r>
    </w:p>
    <w:p w14:paraId="1E8E8001" w14:textId="77777777" w:rsidR="00A332E9" w:rsidRDefault="00A332E9" w:rsidP="00365C01">
      <w:pPr>
        <w:framePr w:w="9639" w:h="2732" w:hRule="exact" w:wrap="around" w:vAnchor="page" w:hAnchor="page" w:x="1391" w:y="6481" w:anchorLock="1"/>
        <w:spacing w:beforeLines="50" w:before="156" w:line="360" w:lineRule="exact"/>
        <w:jc w:val="center"/>
        <w:rPr>
          <w:rFonts w:ascii="Times New Roman" w:hAnsi="Times New Roman"/>
          <w:color w:val="000000"/>
          <w:kern w:val="0"/>
          <w:sz w:val="24"/>
          <w:szCs w:val="24"/>
          <w:shd w:val="clear" w:color="auto" w:fill="FFFFFF"/>
        </w:rPr>
      </w:pPr>
    </w:p>
    <w:p w14:paraId="4F51564C" w14:textId="7BEBC26B" w:rsidR="00A332E9" w:rsidRPr="00A332E9" w:rsidRDefault="00A332E9" w:rsidP="00365C01">
      <w:pPr>
        <w:framePr w:w="9639" w:h="2732" w:hRule="exact" w:wrap="around" w:vAnchor="page" w:hAnchor="page" w:x="1391" w:y="6481" w:anchorLock="1"/>
        <w:spacing w:beforeLines="50" w:before="156" w:line="360" w:lineRule="exact"/>
        <w:jc w:val="center"/>
        <w:rPr>
          <w:rFonts w:ascii="Times New Roman" w:hAnsi="Times New Roman"/>
          <w:color w:val="000000"/>
          <w:kern w:val="0"/>
          <w:sz w:val="24"/>
          <w:szCs w:val="24"/>
          <w:shd w:val="clear" w:color="auto" w:fill="FFFFFF"/>
        </w:rPr>
      </w:pPr>
      <w:r w:rsidRPr="00A332E9">
        <w:rPr>
          <w:rFonts w:ascii="Times New Roman" w:hAnsi="Times New Roman" w:hint="eastAsia"/>
          <w:color w:val="000000"/>
          <w:kern w:val="0"/>
          <w:sz w:val="24"/>
          <w:szCs w:val="24"/>
          <w:shd w:val="clear" w:color="auto" w:fill="FFFFFF"/>
        </w:rPr>
        <w:t>（标准草案）</w:t>
      </w:r>
    </w:p>
    <w:p w14:paraId="388E17A0" w14:textId="77777777" w:rsidR="00415A92" w:rsidRPr="00594288" w:rsidRDefault="00415A92" w:rsidP="00365C01">
      <w:pPr>
        <w:spacing w:beforeLines="50" w:before="156" w:afterLines="50" w:after="156" w:line="360" w:lineRule="auto"/>
        <w:jc w:val="center"/>
        <w:rPr>
          <w:rFonts w:ascii="Times New Roman" w:hAnsi="Times New Roman"/>
          <w:b/>
          <w:color w:val="000000"/>
          <w:kern w:val="0"/>
          <w:sz w:val="28"/>
          <w:szCs w:val="28"/>
          <w:shd w:val="clear" w:color="auto" w:fill="FFFFFF"/>
        </w:rPr>
      </w:pPr>
    </w:p>
    <w:p w14:paraId="3E2D1869" w14:textId="77777777" w:rsidR="00415A92" w:rsidRPr="00594288" w:rsidRDefault="00415A92">
      <w:pPr>
        <w:rPr>
          <w:kern w:val="0"/>
        </w:rPr>
      </w:pPr>
    </w:p>
    <w:p w14:paraId="630E5254" w14:textId="77777777" w:rsidR="00A24F9B" w:rsidRPr="00594288" w:rsidRDefault="00A24F9B">
      <w:pPr>
        <w:rPr>
          <w:kern w:val="0"/>
        </w:rPr>
      </w:pPr>
    </w:p>
    <w:p w14:paraId="377946B8" w14:textId="77777777" w:rsidR="00A24F9B" w:rsidRPr="00594288" w:rsidRDefault="00A24F9B">
      <w:pPr>
        <w:rPr>
          <w:kern w:val="0"/>
        </w:rPr>
      </w:pPr>
    </w:p>
    <w:p w14:paraId="429AD164" w14:textId="77777777" w:rsidR="00A24F9B" w:rsidRPr="00594288" w:rsidRDefault="00A24F9B">
      <w:pPr>
        <w:rPr>
          <w:kern w:val="0"/>
        </w:rPr>
      </w:pPr>
    </w:p>
    <w:p w14:paraId="485FCD48" w14:textId="77777777" w:rsidR="00415A92" w:rsidRPr="00594288" w:rsidRDefault="00415A92">
      <w:pPr>
        <w:rPr>
          <w:kern w:val="0"/>
        </w:rPr>
      </w:pPr>
    </w:p>
    <w:p w14:paraId="1E5328D6" w14:textId="77777777" w:rsidR="00415A92" w:rsidRPr="00594288" w:rsidRDefault="00415A92">
      <w:pPr>
        <w:rPr>
          <w:kern w:val="0"/>
        </w:rPr>
      </w:pPr>
    </w:p>
    <w:p w14:paraId="77525FDF" w14:textId="77777777" w:rsidR="00415A92" w:rsidRPr="00594288" w:rsidRDefault="00415A92">
      <w:pPr>
        <w:rPr>
          <w:kern w:val="0"/>
        </w:rPr>
      </w:pPr>
    </w:p>
    <w:p w14:paraId="2E34EED1" w14:textId="77777777" w:rsidR="00415A92" w:rsidRPr="00594288" w:rsidRDefault="00415A92">
      <w:pPr>
        <w:rPr>
          <w:kern w:val="0"/>
        </w:rPr>
      </w:pPr>
    </w:p>
    <w:p w14:paraId="3FBA84B1" w14:textId="77777777" w:rsidR="00415A92" w:rsidRPr="005D5107" w:rsidRDefault="00A24F9B">
      <w:pPr>
        <w:rPr>
          <w:rFonts w:ascii="黑体" w:eastAsia="黑体" w:hAnsi="微软雅黑"/>
          <w:kern w:val="0"/>
          <w:sz w:val="28"/>
          <w:szCs w:val="28"/>
        </w:rPr>
      </w:pPr>
      <w:r w:rsidRPr="00057197">
        <w:rPr>
          <w:rFonts w:ascii="黑体" w:eastAsia="黑体" w:hAnsi="微软雅黑" w:hint="eastAsia"/>
          <w:spacing w:val="1"/>
          <w:kern w:val="0"/>
          <w:sz w:val="28"/>
          <w:szCs w:val="28"/>
          <w:fitText w:val="8921" w:id="2"/>
        </w:rPr>
        <w:t>20</w:t>
      </w:r>
      <w:r w:rsidR="00487795" w:rsidRPr="00057197">
        <w:rPr>
          <w:rFonts w:ascii="黑体" w:eastAsia="黑体" w:hAnsi="微软雅黑"/>
          <w:spacing w:val="1"/>
          <w:kern w:val="0"/>
          <w:sz w:val="28"/>
          <w:szCs w:val="28"/>
          <w:fitText w:val="8921" w:id="2"/>
        </w:rPr>
        <w:t>20</w:t>
      </w:r>
      <w:r w:rsidRPr="00057197">
        <w:rPr>
          <w:rFonts w:ascii="黑体" w:eastAsia="黑体" w:hAnsi="微软雅黑" w:hint="eastAsia"/>
          <w:spacing w:val="1"/>
          <w:kern w:val="0"/>
          <w:sz w:val="28"/>
          <w:szCs w:val="28"/>
          <w:fitText w:val="8921" w:id="2"/>
        </w:rPr>
        <w:t xml:space="preserve">-X-X </w:t>
      </w:r>
      <w:r w:rsidRPr="00057197">
        <w:rPr>
          <w:rFonts w:ascii="黑体" w:eastAsia="黑体" w:hAnsi="黑体" w:hint="eastAsia"/>
          <w:spacing w:val="1"/>
          <w:kern w:val="0"/>
          <w:sz w:val="28"/>
          <w:szCs w:val="28"/>
          <w:fitText w:val="8921" w:id="2"/>
        </w:rPr>
        <w:t>发布                                     20</w:t>
      </w:r>
      <w:r w:rsidR="00487795" w:rsidRPr="00057197">
        <w:rPr>
          <w:rFonts w:ascii="黑体" w:eastAsia="黑体" w:hAnsi="黑体"/>
          <w:spacing w:val="1"/>
          <w:kern w:val="0"/>
          <w:sz w:val="28"/>
          <w:szCs w:val="28"/>
          <w:fitText w:val="8921" w:id="2"/>
        </w:rPr>
        <w:t>20</w:t>
      </w:r>
      <w:r w:rsidRPr="00057197">
        <w:rPr>
          <w:rFonts w:ascii="黑体" w:eastAsia="黑体" w:hAnsi="微软雅黑" w:hint="eastAsia"/>
          <w:spacing w:val="1"/>
          <w:kern w:val="0"/>
          <w:sz w:val="28"/>
          <w:szCs w:val="28"/>
          <w:fitText w:val="8921" w:id="2"/>
        </w:rPr>
        <w:t xml:space="preserve">-X-X </w:t>
      </w:r>
      <w:r w:rsidRPr="00057197">
        <w:rPr>
          <w:rFonts w:ascii="黑体" w:eastAsia="黑体" w:hAnsi="黑体" w:hint="eastAsia"/>
          <w:spacing w:val="1"/>
          <w:kern w:val="0"/>
          <w:sz w:val="28"/>
          <w:szCs w:val="28"/>
          <w:fitText w:val="8921" w:id="2"/>
        </w:rPr>
        <w:t>实</w:t>
      </w:r>
      <w:r w:rsidRPr="00057197">
        <w:rPr>
          <w:rFonts w:ascii="黑体" w:eastAsia="黑体" w:hAnsi="黑体" w:hint="eastAsia"/>
          <w:kern w:val="0"/>
          <w:sz w:val="28"/>
          <w:szCs w:val="28"/>
          <w:fitText w:val="8921" w:id="2"/>
        </w:rPr>
        <w:t>施</w:t>
      </w:r>
    </w:p>
    <w:p w14:paraId="7181600D" w14:textId="058E0CD9" w:rsidR="00D900C8" w:rsidRPr="00CB1AE8" w:rsidRDefault="00CA64F3" w:rsidP="00057197">
      <w:pPr>
        <w:spacing w:beforeLines="100" w:before="312"/>
        <w:ind w:firstLineChars="67" w:firstLine="141"/>
        <w:jc w:val="center"/>
        <w:rPr>
          <w:rFonts w:ascii="方正小标宋简体" w:eastAsia="方正小标宋简体" w:hAnsi="方正小标宋简体"/>
          <w:spacing w:val="-20"/>
          <w:kern w:val="0"/>
          <w:sz w:val="52"/>
          <w:szCs w:val="52"/>
        </w:rPr>
        <w:sectPr w:rsidR="00D900C8" w:rsidRPr="00CB1AE8" w:rsidSect="00A84E00">
          <w:headerReference w:type="default" r:id="rId9"/>
          <w:pgSz w:w="11906" w:h="16838"/>
          <w:pgMar w:top="1440" w:right="1800" w:bottom="1440" w:left="1800" w:header="851" w:footer="992" w:gutter="0"/>
          <w:cols w:space="425"/>
          <w:docGrid w:type="lines" w:linePitch="312"/>
        </w:sectPr>
      </w:pPr>
      <w:r w:rsidRPr="00057197">
        <w:rPr>
          <w:rFonts w:ascii="方正小标宋简体" w:eastAsia="方正小标宋简体" w:hAnsi="方正小标宋简体"/>
          <w:noProof/>
          <w:spacing w:val="-20"/>
          <w:kern w:val="0"/>
          <w:fitText w:val="5980" w:id="3"/>
        </w:rPr>
        <mc:AlternateContent>
          <mc:Choice Requires="wps">
            <w:drawing>
              <wp:anchor distT="4294967295" distB="4294967295" distL="114300" distR="114300" simplePos="0" relativeHeight="251661312" behindDoc="0" locked="0" layoutInCell="1" allowOverlap="1" wp14:anchorId="5035E178" wp14:editId="3E17A17E">
                <wp:simplePos x="0" y="0"/>
                <wp:positionH relativeFrom="column">
                  <wp:posOffset>-150178</wp:posOffset>
                </wp:positionH>
                <wp:positionV relativeFrom="paragraph">
                  <wp:posOffset>86042</wp:posOffset>
                </wp:positionV>
                <wp:extent cx="5874385" cy="0"/>
                <wp:effectExtent l="0" t="0" r="0" b="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4385" cy="0"/>
                        </a:xfrm>
                        <a:prstGeom prst="straightConnector1">
                          <a:avLst/>
                        </a:prstGeom>
                        <a:noFill/>
                        <a:ln w="19050">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w14:anchorId="4E8164A2" id="AutoShape 3" o:spid="_x0000_s1026" type="#_x0000_t32" style="position:absolute;left:0;text-align:left;margin-left:-11.85pt;margin-top:6.75pt;width:462.5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" strokeweight="1.5pt"/>
            </w:pict>
          </mc:Fallback>
        </mc:AlternateContent>
      </w:r>
      <w:r w:rsidR="00057197" w:rsidRPr="00296A69">
        <w:rPr>
          <w:rFonts w:ascii="宋体" w:hAnsi="宋体" w:cs="宋体" w:hint="eastAsia"/>
          <w:b/>
          <w:spacing w:val="20"/>
          <w:kern w:val="0"/>
          <w:sz w:val="40"/>
          <w:szCs w:val="40"/>
        </w:rPr>
        <w:t>中关村现代能源环境服务产业联盟发布</w:t>
      </w:r>
      <w:r w:rsidR="00487795" w:rsidRPr="00CB1AE8">
        <w:rPr>
          <w:rFonts w:ascii="方正小标宋简体" w:eastAsia="方正小标宋简体" w:hAnsi="方正小标宋简体"/>
          <w:spacing w:val="-20"/>
          <w:kern w:val="0"/>
          <w:sz w:val="52"/>
          <w:szCs w:val="52"/>
        </w:rPr>
        <w:t xml:space="preserve"> </w:t>
      </w:r>
    </w:p>
    <w:p w14:paraId="0B4EC631" w14:textId="77777777" w:rsidR="00594288" w:rsidRPr="00594288" w:rsidRDefault="00594288" w:rsidP="00594288">
      <w:pPr>
        <w:pStyle w:val="a8"/>
        <w:jc w:val="both"/>
        <w:rPr>
          <w:rFonts w:hAnsi="黑体" w:cs="Arial"/>
        </w:rPr>
      </w:pPr>
      <w:r w:rsidRPr="00594288">
        <w:rPr>
          <w:rFonts w:hAnsi="黑体" w:cs="Arial" w:hint="eastAsia"/>
        </w:rPr>
        <w:lastRenderedPageBreak/>
        <w:t>前言</w:t>
      </w:r>
    </w:p>
    <w:p w14:paraId="0B6A4805" w14:textId="1420187D" w:rsidR="00A332E9" w:rsidRDefault="00A332E9" w:rsidP="00527DFE">
      <w:pPr>
        <w:spacing w:line="360" w:lineRule="auto"/>
        <w:ind w:firstLine="420"/>
        <w:rPr>
          <w:rFonts w:ascii="Arial" w:eastAsiaTheme="minorEastAsia" w:hAnsi="Arial" w:cs="Arial"/>
        </w:rPr>
      </w:pPr>
      <w:r>
        <w:rPr>
          <w:rFonts w:ascii="Times New Roman" w:hAnsi="Times New Roman"/>
          <w:color w:val="000000" w:themeColor="text1"/>
        </w:rPr>
        <w:t>本标准按照</w:t>
      </w:r>
      <w:r>
        <w:rPr>
          <w:rFonts w:ascii="Times New Roman" w:hAnsi="Times New Roman"/>
          <w:color w:val="000000" w:themeColor="text1"/>
        </w:rPr>
        <w:t xml:space="preserve"> GB/T 1.1-2009 </w:t>
      </w:r>
      <w:r>
        <w:rPr>
          <w:rFonts w:ascii="Times New Roman" w:hAnsi="Times New Roman"/>
          <w:color w:val="000000" w:themeColor="text1"/>
        </w:rPr>
        <w:t>给出的规则起草。</w:t>
      </w:r>
    </w:p>
    <w:p w14:paraId="6815F5D4" w14:textId="5BD16706" w:rsidR="00594288" w:rsidRPr="00527DFE" w:rsidRDefault="00594288" w:rsidP="00527DFE">
      <w:pPr>
        <w:spacing w:line="360" w:lineRule="auto"/>
        <w:ind w:firstLine="420"/>
        <w:rPr>
          <w:rFonts w:ascii="Arial" w:eastAsiaTheme="minorEastAsia" w:hAnsi="Arial" w:cs="Arial"/>
        </w:rPr>
      </w:pPr>
      <w:r w:rsidRPr="00527DFE">
        <w:rPr>
          <w:rFonts w:ascii="Arial" w:eastAsiaTheme="minorEastAsia" w:hAnsi="Arial" w:cs="Arial" w:hint="eastAsia"/>
        </w:rPr>
        <w:t>本</w:t>
      </w:r>
      <w:r w:rsidR="00A332E9">
        <w:rPr>
          <w:rFonts w:ascii="Arial" w:eastAsiaTheme="minorEastAsia" w:hAnsi="Arial" w:cs="Arial" w:hint="eastAsia"/>
        </w:rPr>
        <w:t>标准</w:t>
      </w:r>
      <w:r w:rsidRPr="00527DFE">
        <w:rPr>
          <w:rFonts w:ascii="Arial" w:eastAsiaTheme="minorEastAsia" w:hAnsi="Arial" w:cs="Arial" w:hint="eastAsia"/>
        </w:rPr>
        <w:t>规定了</w:t>
      </w:r>
    </w:p>
    <w:p w14:paraId="2D84B06A" w14:textId="232D23BD" w:rsidR="00594288" w:rsidRPr="00527DFE" w:rsidRDefault="00594288" w:rsidP="00527DFE">
      <w:pPr>
        <w:spacing w:line="360" w:lineRule="auto"/>
        <w:ind w:firstLine="420"/>
        <w:rPr>
          <w:rFonts w:ascii="Arial" w:eastAsiaTheme="minorEastAsia" w:hAnsi="Arial" w:cs="Arial"/>
        </w:rPr>
      </w:pPr>
      <w:r w:rsidRPr="00527DFE">
        <w:rPr>
          <w:rFonts w:ascii="Arial" w:eastAsiaTheme="minorEastAsia" w:hAnsi="Arial" w:cs="Arial" w:hint="eastAsia"/>
        </w:rPr>
        <w:t>本</w:t>
      </w:r>
      <w:r w:rsidR="00A332E9">
        <w:rPr>
          <w:rFonts w:ascii="Arial" w:eastAsiaTheme="minorEastAsia" w:hAnsi="Arial" w:cs="Arial" w:hint="eastAsia"/>
        </w:rPr>
        <w:t>标准</w:t>
      </w:r>
      <w:r w:rsidRPr="00527DFE">
        <w:rPr>
          <w:rFonts w:ascii="Arial" w:eastAsiaTheme="minorEastAsia" w:hAnsi="Arial" w:cs="Arial" w:hint="eastAsia"/>
        </w:rPr>
        <w:t>由归口。</w:t>
      </w:r>
    </w:p>
    <w:p w14:paraId="5670A9A6" w14:textId="77777777" w:rsidR="00594288" w:rsidRPr="00527DFE" w:rsidRDefault="00594288" w:rsidP="00527DFE">
      <w:pPr>
        <w:spacing w:line="360" w:lineRule="auto"/>
        <w:ind w:firstLine="420"/>
        <w:rPr>
          <w:rFonts w:ascii="Arial" w:eastAsiaTheme="minorEastAsia" w:hAnsi="Arial" w:cs="Arial"/>
        </w:rPr>
      </w:pPr>
      <w:r w:rsidRPr="00527DFE">
        <w:rPr>
          <w:rFonts w:ascii="Arial" w:eastAsiaTheme="minorEastAsia" w:hAnsi="Arial" w:cs="Arial" w:hint="eastAsia"/>
        </w:rPr>
        <w:t>主要起草单位：。</w:t>
      </w:r>
    </w:p>
    <w:p w14:paraId="3B2928A9" w14:textId="77777777" w:rsidR="00594288" w:rsidRPr="00527DFE" w:rsidRDefault="00594288" w:rsidP="00527DFE">
      <w:pPr>
        <w:spacing w:line="360" w:lineRule="auto"/>
        <w:ind w:firstLine="420"/>
        <w:rPr>
          <w:rFonts w:ascii="Arial" w:eastAsiaTheme="minorEastAsia" w:hAnsi="Arial" w:cs="Arial"/>
        </w:rPr>
      </w:pPr>
      <w:r w:rsidRPr="00527DFE">
        <w:rPr>
          <w:rFonts w:ascii="Arial" w:eastAsiaTheme="minorEastAsia" w:hAnsi="Arial" w:cs="Arial" w:hint="eastAsia"/>
        </w:rPr>
        <w:t>主要起草人：。</w:t>
      </w:r>
    </w:p>
    <w:p w14:paraId="3509AFB1" w14:textId="1F04EF4D" w:rsidR="00594288" w:rsidRPr="00527DFE" w:rsidRDefault="00594288" w:rsidP="00527DFE">
      <w:pPr>
        <w:spacing w:line="360" w:lineRule="auto"/>
        <w:ind w:firstLine="420"/>
        <w:rPr>
          <w:rFonts w:ascii="Arial" w:eastAsiaTheme="minorEastAsia" w:hAnsi="Arial" w:cs="Arial"/>
        </w:rPr>
      </w:pPr>
      <w:r w:rsidRPr="00527DFE">
        <w:rPr>
          <w:rFonts w:ascii="Arial" w:eastAsiaTheme="minorEastAsia" w:hAnsi="Arial" w:cs="Arial" w:hint="eastAsia"/>
        </w:rPr>
        <w:t>本</w:t>
      </w:r>
      <w:r w:rsidR="00A332E9">
        <w:rPr>
          <w:rFonts w:ascii="Arial" w:eastAsiaTheme="minorEastAsia" w:hAnsi="Arial" w:cs="Arial" w:hint="eastAsia"/>
        </w:rPr>
        <w:t>标准</w:t>
      </w:r>
      <w:r w:rsidRPr="00527DFE">
        <w:rPr>
          <w:rFonts w:ascii="Arial" w:eastAsiaTheme="minorEastAsia" w:hAnsi="Arial" w:cs="Arial" w:hint="eastAsia"/>
        </w:rPr>
        <w:t>为首次发布。</w:t>
      </w:r>
      <w:r w:rsidRPr="00527DFE">
        <w:rPr>
          <w:rFonts w:ascii="Arial" w:eastAsiaTheme="minorEastAsia" w:hAnsi="Arial" w:cs="Arial" w:hint="eastAsia"/>
        </w:rPr>
        <w:t xml:space="preserve"> </w:t>
      </w:r>
    </w:p>
    <w:p w14:paraId="4FA5DA0A" w14:textId="77777777" w:rsidR="00594288" w:rsidRDefault="00594288">
      <w:pPr>
        <w:widowControl/>
        <w:jc w:val="left"/>
      </w:pPr>
      <w:r>
        <w:br w:type="page"/>
      </w:r>
    </w:p>
    <w:p w14:paraId="28AA8913" w14:textId="579E4791" w:rsidR="00594288" w:rsidRPr="00594288" w:rsidRDefault="00A332E9" w:rsidP="00594288">
      <w:pPr>
        <w:pStyle w:val="a9"/>
        <w:rPr>
          <w:rFonts w:ascii="华文中宋" w:eastAsia="华文中宋" w:hAnsi="华文中宋" w:cs="Arial"/>
        </w:rPr>
      </w:pPr>
      <w:r w:rsidRPr="00A332E9">
        <w:rPr>
          <w:rFonts w:ascii="华文中宋" w:eastAsia="华文中宋" w:hAnsi="华文中宋" w:cs="Arial" w:hint="eastAsia"/>
        </w:rPr>
        <w:lastRenderedPageBreak/>
        <w:t>“领跑者”标准</w:t>
      </w:r>
      <w:r w:rsidR="00E55699">
        <w:rPr>
          <w:rFonts w:ascii="华文中宋" w:eastAsia="华文中宋" w:hAnsi="华文中宋" w:cs="Arial" w:hint="eastAsia"/>
        </w:rPr>
        <w:t xml:space="preserve">评价要求 </w:t>
      </w:r>
      <w:r w:rsidRPr="00A332E9">
        <w:rPr>
          <w:rFonts w:ascii="华文中宋" w:eastAsia="华文中宋" w:hAnsi="华文中宋" w:cs="Arial" w:hint="eastAsia"/>
        </w:rPr>
        <w:t>采暖散热器</w:t>
      </w:r>
    </w:p>
    <w:p w14:paraId="315976C5" w14:textId="77777777" w:rsidR="00594288" w:rsidRPr="00594288" w:rsidRDefault="00594288" w:rsidP="00A332E9">
      <w:pPr>
        <w:pStyle w:val="aa"/>
        <w:spacing w:before="312" w:after="312"/>
        <w:outlineLvl w:val="0"/>
        <w:rPr>
          <w:rFonts w:hAnsi="黑体" w:cs="Arial"/>
        </w:rPr>
      </w:pPr>
      <w:r w:rsidRPr="00594288">
        <w:rPr>
          <w:rFonts w:hAnsi="黑体" w:cs="Arial" w:hint="eastAsia"/>
        </w:rPr>
        <w:t>1 范围</w:t>
      </w:r>
    </w:p>
    <w:p w14:paraId="1171D95C" w14:textId="5F986256" w:rsidR="00DE5F70" w:rsidRDefault="00DE5F70" w:rsidP="00DE5F70">
      <w:pPr>
        <w:pStyle w:val="ab"/>
        <w:numPr>
          <w:ilvl w:val="0"/>
          <w:numId w:val="1"/>
        </w:numPr>
        <w:spacing w:line="400" w:lineRule="exact"/>
        <w:ind w:firstLineChars="0"/>
        <w:rPr>
          <w:color w:val="000000" w:themeColor="text1"/>
          <w:szCs w:val="22"/>
        </w:rPr>
      </w:pPr>
      <w:r>
        <w:rPr>
          <w:rFonts w:hint="eastAsia"/>
          <w:color w:val="000000" w:themeColor="text1"/>
          <w:szCs w:val="22"/>
        </w:rPr>
        <w:t xml:space="preserve"> </w:t>
      </w:r>
      <w:r>
        <w:rPr>
          <w:color w:val="000000" w:themeColor="text1"/>
          <w:szCs w:val="22"/>
        </w:rPr>
        <w:t xml:space="preserve">   </w:t>
      </w:r>
      <w:r>
        <w:rPr>
          <w:rFonts w:hint="eastAsia"/>
          <w:color w:val="000000" w:themeColor="text1"/>
          <w:szCs w:val="22"/>
        </w:rPr>
        <w:t>本标准规定了采暖散热器“领跑者”产品技术评价指标、评价方法和评价等级。</w:t>
      </w:r>
    </w:p>
    <w:p w14:paraId="15A9767A" w14:textId="74016564" w:rsidR="00594288" w:rsidRDefault="00DE5F70" w:rsidP="00DE5F70">
      <w:pPr>
        <w:ind w:firstLineChars="200" w:firstLine="420"/>
        <w:jc w:val="left"/>
      </w:pPr>
      <w:r>
        <w:rPr>
          <w:rFonts w:hint="eastAsia"/>
          <w:color w:val="000000" w:themeColor="text1"/>
        </w:rPr>
        <w:t>本标准适用于</w:t>
      </w:r>
      <w:r>
        <w:rPr>
          <w:rFonts w:asciiTheme="minorEastAsia" w:hAnsiTheme="minorEastAsia" w:hint="eastAsia"/>
          <w:color w:val="000000" w:themeColor="text1"/>
        </w:rPr>
        <w:t>采暖散热器</w:t>
      </w:r>
      <w:r>
        <w:rPr>
          <w:rFonts w:hint="eastAsia"/>
          <w:color w:val="000000" w:themeColor="text1"/>
        </w:rPr>
        <w:t>产品的企业标准“领跑者”评价技术</w:t>
      </w:r>
      <w:r>
        <w:rPr>
          <w:color w:val="000000" w:themeColor="text1"/>
        </w:rPr>
        <w:t>要求</w:t>
      </w:r>
      <w:r>
        <w:rPr>
          <w:rFonts w:hint="eastAsia"/>
          <w:color w:val="000000" w:themeColor="text1"/>
        </w:rPr>
        <w:t>。产品生产企业和服务提供企业可参照“领跑者”产品评价技术</w:t>
      </w:r>
      <w:r>
        <w:rPr>
          <w:color w:val="000000" w:themeColor="text1"/>
        </w:rPr>
        <w:t>要求</w:t>
      </w:r>
      <w:r>
        <w:rPr>
          <w:rFonts w:hint="eastAsia"/>
          <w:color w:val="000000" w:themeColor="text1"/>
        </w:rPr>
        <w:t>声明公开先进标准，第三方评估机构在编制企业标准“领跑者”评估方案时也可参考本标准。</w:t>
      </w:r>
    </w:p>
    <w:p w14:paraId="3A219305" w14:textId="5D3ABAB3" w:rsidR="00594288" w:rsidRPr="00DE5F70" w:rsidRDefault="00594288" w:rsidP="00DE5F70">
      <w:pPr>
        <w:pStyle w:val="aa"/>
        <w:spacing w:before="312" w:after="312"/>
        <w:outlineLvl w:val="0"/>
        <w:rPr>
          <w:rFonts w:hAnsi="黑体" w:cs="Arial"/>
        </w:rPr>
      </w:pPr>
      <w:r w:rsidRPr="00594288">
        <w:rPr>
          <w:rFonts w:hAnsi="黑体" w:cs="Arial" w:hint="eastAsia"/>
        </w:rPr>
        <w:t>2 规范性引用文件</w:t>
      </w:r>
    </w:p>
    <w:p w14:paraId="6F071E5E" w14:textId="77777777" w:rsidR="00DE5F70" w:rsidRDefault="00DE5F70" w:rsidP="00DE5F70">
      <w:pPr>
        <w:pStyle w:val="ab"/>
        <w:rPr>
          <w:color w:val="000000" w:themeColor="text1"/>
        </w:rPr>
      </w:pPr>
      <w:r>
        <w:rPr>
          <w:rFonts w:hint="eastAsia"/>
          <w:color w:val="000000" w:themeColor="text1"/>
        </w:rPr>
        <w:t>下列文件对于本文件的应用是必不可少的。凡是注日期的引用文件，仅注日期的版本适用于本文件。凡是不注日期的引用文件，其最新版本（包括所有的修改单）适用于本文件。</w:t>
      </w:r>
    </w:p>
    <w:p w14:paraId="7F24EBB7" w14:textId="77777777" w:rsidR="00DE5F70" w:rsidRDefault="00DE5F70" w:rsidP="00DE5F70">
      <w:pPr>
        <w:pStyle w:val="ab"/>
        <w:rPr>
          <w:color w:val="000000" w:themeColor="text1"/>
          <w:szCs w:val="22"/>
        </w:rPr>
      </w:pPr>
      <w:r>
        <w:rPr>
          <w:rFonts w:hint="eastAsia"/>
          <w:color w:val="000000" w:themeColor="text1"/>
          <w:szCs w:val="22"/>
        </w:rPr>
        <w:t>GB/T 13754-2017《供暖散热器散热量测试方法》</w:t>
      </w:r>
    </w:p>
    <w:p w14:paraId="3511F21F" w14:textId="4673B727" w:rsidR="00594288" w:rsidRPr="00594288" w:rsidRDefault="00DE5F70" w:rsidP="00DE5F70">
      <w:pPr>
        <w:pStyle w:val="ab"/>
        <w:rPr>
          <w:rFonts w:ascii="Arial" w:hAnsi="Arial" w:cs="Arial"/>
          <w:szCs w:val="21"/>
        </w:rPr>
      </w:pPr>
      <w:r>
        <w:rPr>
          <w:rFonts w:hint="eastAsia"/>
          <w:color w:val="000000" w:themeColor="text1"/>
          <w:szCs w:val="22"/>
        </w:rPr>
        <w:t>GB/T 29039-2012 《钢制采暖散热器》</w:t>
      </w:r>
    </w:p>
    <w:p w14:paraId="5AADB78B" w14:textId="77777777" w:rsidR="00594288" w:rsidRPr="00AF2775" w:rsidRDefault="00594288" w:rsidP="00A332E9">
      <w:pPr>
        <w:pStyle w:val="aa"/>
        <w:spacing w:before="312" w:after="312"/>
        <w:outlineLvl w:val="0"/>
        <w:rPr>
          <w:rFonts w:hAnsi="黑体" w:cs="Arial"/>
        </w:rPr>
      </w:pPr>
      <w:r w:rsidRPr="00AF2775">
        <w:rPr>
          <w:rFonts w:hAnsi="黑体" w:cs="Arial" w:hint="eastAsia"/>
        </w:rPr>
        <w:t>3 术语和定义</w:t>
      </w:r>
    </w:p>
    <w:p w14:paraId="002AF47D" w14:textId="77777777" w:rsidR="00DE5F70" w:rsidRDefault="00DE5F70" w:rsidP="00DE5F70">
      <w:pPr>
        <w:pStyle w:val="ab"/>
      </w:pPr>
      <w:r>
        <w:t>以下术语和定义适用于本标准</w:t>
      </w:r>
      <w:r>
        <w:rPr>
          <w:rFonts w:hint="eastAsia"/>
        </w:rPr>
        <w:t>。</w:t>
      </w:r>
    </w:p>
    <w:p w14:paraId="0AF1FCDC" w14:textId="77777777" w:rsidR="00DE5F70" w:rsidRDefault="00DE5F70" w:rsidP="00DE5F70">
      <w:pPr>
        <w:ind w:firstLineChars="200" w:firstLine="420"/>
        <w:rPr>
          <w:rFonts w:ascii="宋体" w:hAnsi="Times New Roman"/>
          <w:color w:val="000000" w:themeColor="text1"/>
          <w:kern w:val="0"/>
        </w:rPr>
      </w:pPr>
    </w:p>
    <w:p w14:paraId="007E462A" w14:textId="77777777" w:rsidR="00DE5F70" w:rsidRDefault="00DE5F70" w:rsidP="00DE5F70">
      <w:pPr>
        <w:rPr>
          <w:rFonts w:ascii="宋体" w:hAnsi="Times New Roman"/>
          <w:color w:val="000000" w:themeColor="text1"/>
          <w:kern w:val="0"/>
        </w:rPr>
      </w:pPr>
      <w:r>
        <w:rPr>
          <w:rFonts w:ascii="宋体" w:hAnsi="Times New Roman" w:hint="eastAsia"/>
          <w:color w:val="000000" w:themeColor="text1"/>
          <w:kern w:val="0"/>
        </w:rPr>
        <w:t>3.1 标准散热器standard water mass flow rate</w:t>
      </w:r>
    </w:p>
    <w:p w14:paraId="07566AA1" w14:textId="77777777" w:rsidR="00DE5F70" w:rsidRDefault="00DE5F70" w:rsidP="00DE5F70">
      <w:pPr>
        <w:rPr>
          <w:rFonts w:ascii="宋体" w:hAnsi="Times New Roman"/>
          <w:color w:val="000000" w:themeColor="text1"/>
          <w:kern w:val="0"/>
        </w:rPr>
      </w:pPr>
    </w:p>
    <w:p w14:paraId="1945619C" w14:textId="77777777" w:rsidR="00DE5F70" w:rsidRDefault="00DE5F70" w:rsidP="00DE5F70">
      <w:pPr>
        <w:pStyle w:val="ab"/>
        <w:ind w:leftChars="202" w:left="424" w:firstLineChars="0" w:firstLine="0"/>
      </w:pPr>
      <w:r>
        <w:rPr>
          <w:rFonts w:hint="eastAsia"/>
        </w:rPr>
        <w:t>各检测实验室规定的用于验证测试装置重复性的散热器。</w:t>
      </w:r>
    </w:p>
    <w:p w14:paraId="15BE61D0" w14:textId="77777777" w:rsidR="00DE5F70" w:rsidRDefault="00DE5F70" w:rsidP="00DE5F70">
      <w:pPr>
        <w:rPr>
          <w:rFonts w:ascii="宋体" w:hAnsi="Times New Roman"/>
          <w:color w:val="000000" w:themeColor="text1"/>
          <w:kern w:val="0"/>
        </w:rPr>
      </w:pPr>
    </w:p>
    <w:p w14:paraId="43BB27BA" w14:textId="77777777" w:rsidR="00DE5F70" w:rsidRDefault="00DE5F70" w:rsidP="00DE5F70">
      <w:pPr>
        <w:rPr>
          <w:rFonts w:ascii="宋体" w:hAnsi="Times New Roman"/>
          <w:color w:val="000000" w:themeColor="text1"/>
          <w:kern w:val="0"/>
        </w:rPr>
      </w:pPr>
      <w:r>
        <w:rPr>
          <w:rFonts w:ascii="宋体" w:hAnsi="Times New Roman" w:hint="eastAsia"/>
          <w:color w:val="000000" w:themeColor="text1"/>
          <w:kern w:val="0"/>
        </w:rPr>
        <w:t>3.2 基础指标</w:t>
      </w:r>
      <w:r>
        <w:rPr>
          <w:rFonts w:ascii="宋体" w:hAnsi="Times New Roman"/>
          <w:color w:val="000000" w:themeColor="text1"/>
          <w:kern w:val="0"/>
        </w:rPr>
        <w:t>Basic indicators</w:t>
      </w:r>
    </w:p>
    <w:p w14:paraId="7DEFE920" w14:textId="77777777" w:rsidR="00DE5F70" w:rsidRDefault="00DE5F70" w:rsidP="00DE5F70">
      <w:pPr>
        <w:rPr>
          <w:rFonts w:ascii="宋体" w:hAnsi="Times New Roman"/>
          <w:color w:val="000000" w:themeColor="text1"/>
          <w:kern w:val="0"/>
        </w:rPr>
      </w:pPr>
    </w:p>
    <w:p w14:paraId="77CF79AA" w14:textId="77777777" w:rsidR="00DE5F70" w:rsidRDefault="00DE5F70" w:rsidP="00DE5F70">
      <w:pPr>
        <w:ind w:firstLineChars="200" w:firstLine="420"/>
        <w:rPr>
          <w:rFonts w:ascii="宋体" w:hAnsi="Times New Roman"/>
          <w:color w:val="000000" w:themeColor="text1"/>
          <w:kern w:val="0"/>
        </w:rPr>
      </w:pPr>
      <w:r>
        <w:rPr>
          <w:rFonts w:ascii="宋体" w:hAnsi="Times New Roman" w:hint="eastAsia"/>
          <w:color w:val="000000" w:themeColor="text1"/>
          <w:kern w:val="0"/>
        </w:rPr>
        <w:t>产品或服务必须达到且不宜对指标要求进行分级的有关指标，主要涉及产品安全、实用性等标准要求。</w:t>
      </w:r>
    </w:p>
    <w:p w14:paraId="6D7B7780" w14:textId="77777777" w:rsidR="00DE5F70" w:rsidRDefault="00DE5F70" w:rsidP="00DE5F70">
      <w:pPr>
        <w:rPr>
          <w:rFonts w:ascii="宋体" w:hAnsi="Times New Roman"/>
          <w:color w:val="000000" w:themeColor="text1"/>
          <w:kern w:val="0"/>
        </w:rPr>
      </w:pPr>
    </w:p>
    <w:p w14:paraId="34A4565F" w14:textId="77777777" w:rsidR="00DE5F70" w:rsidRDefault="00DE5F70" w:rsidP="00DE5F70">
      <w:pPr>
        <w:rPr>
          <w:rFonts w:ascii="宋体" w:hAnsi="Times New Roman"/>
          <w:color w:val="000000" w:themeColor="text1"/>
          <w:kern w:val="0"/>
        </w:rPr>
      </w:pPr>
      <w:r>
        <w:rPr>
          <w:rFonts w:ascii="宋体" w:hAnsi="Times New Roman" w:hint="eastAsia"/>
          <w:color w:val="000000" w:themeColor="text1"/>
          <w:kern w:val="0"/>
        </w:rPr>
        <w:t>3.3核心指标</w:t>
      </w:r>
      <w:r>
        <w:rPr>
          <w:rFonts w:ascii="宋体" w:hAnsi="Times New Roman"/>
          <w:color w:val="000000" w:themeColor="text1"/>
          <w:kern w:val="0"/>
        </w:rPr>
        <w:t>Core indicators</w:t>
      </w:r>
    </w:p>
    <w:p w14:paraId="1F925181" w14:textId="77777777" w:rsidR="00DE5F70" w:rsidRDefault="00DE5F70" w:rsidP="00DE5F70">
      <w:pPr>
        <w:ind w:firstLineChars="150" w:firstLine="315"/>
        <w:rPr>
          <w:rFonts w:ascii="宋体" w:hAnsi="Times New Roman"/>
          <w:color w:val="000000" w:themeColor="text1"/>
          <w:kern w:val="0"/>
        </w:rPr>
      </w:pPr>
    </w:p>
    <w:p w14:paraId="4B4D9748" w14:textId="77777777" w:rsidR="00DE5F70" w:rsidRDefault="00DE5F70" w:rsidP="00DE5F70">
      <w:pPr>
        <w:ind w:firstLineChars="150" w:firstLine="315"/>
        <w:rPr>
          <w:rFonts w:ascii="宋体" w:hAnsi="Times New Roman"/>
          <w:color w:val="000000" w:themeColor="text1"/>
          <w:kern w:val="0"/>
        </w:rPr>
      </w:pPr>
      <w:r>
        <w:rPr>
          <w:rFonts w:ascii="宋体" w:hAnsi="Times New Roman" w:hint="eastAsia"/>
          <w:color w:val="000000" w:themeColor="text1"/>
          <w:kern w:val="0"/>
        </w:rPr>
        <w:t>消费者关注度高、体现该产品或服务质量高低、行业普遍公开、其具体数值有趋向性</w:t>
      </w:r>
      <w:r>
        <w:rPr>
          <w:rFonts w:ascii="宋体" w:hAnsi="Times New Roman"/>
          <w:color w:val="000000" w:themeColor="text1"/>
          <w:kern w:val="0"/>
        </w:rPr>
        <w:t>、</w:t>
      </w:r>
      <w:r>
        <w:rPr>
          <w:rFonts w:ascii="宋体" w:hAnsi="Times New Roman" w:hint="eastAsia"/>
          <w:color w:val="000000" w:themeColor="text1"/>
          <w:kern w:val="0"/>
        </w:rPr>
        <w:t>可划分等级的关键指标，有产品标准的，不得少于产品标准中涉及的可以量化的指标。</w:t>
      </w:r>
    </w:p>
    <w:p w14:paraId="7AB181B0" w14:textId="77777777" w:rsidR="00DE5F70" w:rsidRDefault="00DE5F70" w:rsidP="00DE5F70">
      <w:pPr>
        <w:ind w:firstLineChars="150" w:firstLine="315"/>
        <w:rPr>
          <w:rFonts w:ascii="宋体" w:hAnsi="Times New Roman"/>
          <w:color w:val="000000" w:themeColor="text1"/>
          <w:kern w:val="0"/>
        </w:rPr>
      </w:pPr>
    </w:p>
    <w:p w14:paraId="06C949A8" w14:textId="77777777" w:rsidR="00DE5F70" w:rsidRDefault="00DE5F70" w:rsidP="00DE5F70">
      <w:pPr>
        <w:rPr>
          <w:rFonts w:ascii="宋体" w:hAnsi="Times New Roman"/>
          <w:color w:val="000000" w:themeColor="text1"/>
          <w:kern w:val="0"/>
        </w:rPr>
      </w:pPr>
      <w:r>
        <w:rPr>
          <w:rFonts w:ascii="宋体" w:hAnsi="Times New Roman" w:hint="eastAsia"/>
          <w:color w:val="000000" w:themeColor="text1"/>
          <w:kern w:val="0"/>
        </w:rPr>
        <w:t>3.4创新性指标</w:t>
      </w:r>
      <w:r>
        <w:rPr>
          <w:rFonts w:ascii="宋体" w:hAnsi="Times New Roman"/>
          <w:color w:val="000000" w:themeColor="text1"/>
          <w:kern w:val="0"/>
        </w:rPr>
        <w:t>Innovative indicators</w:t>
      </w:r>
    </w:p>
    <w:p w14:paraId="731B6A4D" w14:textId="77777777" w:rsidR="00DE5F70" w:rsidRDefault="00DE5F70" w:rsidP="00DE5F70">
      <w:pPr>
        <w:rPr>
          <w:rFonts w:ascii="宋体" w:hAnsi="Times New Roman"/>
          <w:color w:val="000000" w:themeColor="text1"/>
          <w:kern w:val="0"/>
        </w:rPr>
      </w:pPr>
    </w:p>
    <w:p w14:paraId="7DC9F59E" w14:textId="77777777" w:rsidR="00DE5F70" w:rsidRDefault="00DE5F70" w:rsidP="00DE5F70">
      <w:pPr>
        <w:ind w:firstLineChars="200" w:firstLine="420"/>
        <w:rPr>
          <w:rFonts w:ascii="宋体" w:hAnsi="Times New Roman"/>
          <w:color w:val="000000" w:themeColor="text1"/>
          <w:kern w:val="0"/>
        </w:rPr>
      </w:pPr>
      <w:r>
        <w:rPr>
          <w:rFonts w:ascii="宋体" w:hAnsi="Times New Roman" w:hint="eastAsia"/>
          <w:color w:val="000000" w:themeColor="text1"/>
          <w:kern w:val="0"/>
        </w:rPr>
        <w:t>根据该品种产品自身特点、行业和市场需要，提出的消费升级或质量提升亟需而当前产品国家标准或行业标准中未提及的指标。</w:t>
      </w:r>
    </w:p>
    <w:p w14:paraId="47E0B319" w14:textId="77777777" w:rsidR="00DE5F70" w:rsidRDefault="00DE5F70" w:rsidP="00DE5F70">
      <w:pPr>
        <w:rPr>
          <w:rFonts w:ascii="宋体" w:hAnsi="Times New Roman"/>
          <w:color w:val="000000" w:themeColor="text1"/>
          <w:kern w:val="0"/>
        </w:rPr>
      </w:pPr>
    </w:p>
    <w:p w14:paraId="124393F0" w14:textId="77777777" w:rsidR="00DE5F70" w:rsidRDefault="00DE5F70" w:rsidP="00DE5F70">
      <w:pPr>
        <w:rPr>
          <w:rFonts w:ascii="宋体" w:hAnsi="Times New Roman"/>
          <w:color w:val="000000" w:themeColor="text1"/>
          <w:kern w:val="0"/>
        </w:rPr>
      </w:pPr>
      <w:r>
        <w:rPr>
          <w:rFonts w:ascii="宋体" w:hAnsi="Times New Roman" w:hint="eastAsia"/>
          <w:color w:val="000000" w:themeColor="text1"/>
          <w:kern w:val="0"/>
        </w:rPr>
        <w:t>3.5基本要求</w:t>
      </w:r>
      <w:r>
        <w:rPr>
          <w:rFonts w:ascii="宋体" w:hAnsi="Times New Roman"/>
          <w:color w:val="000000" w:themeColor="text1"/>
          <w:kern w:val="0"/>
        </w:rPr>
        <w:t xml:space="preserve">Basic </w:t>
      </w:r>
      <w:r>
        <w:rPr>
          <w:rFonts w:ascii="宋体" w:hAnsi="Times New Roman" w:hint="eastAsia"/>
          <w:color w:val="000000" w:themeColor="text1"/>
          <w:kern w:val="0"/>
        </w:rPr>
        <w:t>r</w:t>
      </w:r>
      <w:r>
        <w:rPr>
          <w:rFonts w:ascii="宋体" w:hAnsi="Times New Roman"/>
          <w:color w:val="000000" w:themeColor="text1"/>
          <w:kern w:val="0"/>
        </w:rPr>
        <w:t>equirements</w:t>
      </w:r>
    </w:p>
    <w:p w14:paraId="458F0719" w14:textId="77777777" w:rsidR="00DE5F70" w:rsidRDefault="00DE5F70" w:rsidP="00DE5F70">
      <w:pPr>
        <w:rPr>
          <w:rFonts w:ascii="宋体" w:hAnsi="Times New Roman"/>
          <w:color w:val="000000" w:themeColor="text1"/>
          <w:kern w:val="0"/>
        </w:rPr>
      </w:pPr>
    </w:p>
    <w:p w14:paraId="55673A6B" w14:textId="1B102AAB" w:rsidR="00594288" w:rsidRDefault="00DE5F70" w:rsidP="00DE5F70">
      <w:pPr>
        <w:ind w:firstLineChars="200" w:firstLine="420"/>
        <w:jc w:val="left"/>
      </w:pPr>
      <w:r>
        <w:rPr>
          <w:rFonts w:ascii="宋体" w:hAnsi="Times New Roman" w:hint="eastAsia"/>
          <w:color w:val="000000" w:themeColor="text1"/>
          <w:kern w:val="0"/>
        </w:rPr>
        <w:t>产品生产企业或服务提供企业必须达到的门槛性要求和指标评价要求及等级划分。</w:t>
      </w:r>
    </w:p>
    <w:p w14:paraId="7438FC6D" w14:textId="77777777" w:rsidR="00594288" w:rsidRDefault="00594288" w:rsidP="00594288">
      <w:pPr>
        <w:jc w:val="left"/>
      </w:pPr>
    </w:p>
    <w:p w14:paraId="4938CE78" w14:textId="77777777" w:rsidR="00594288" w:rsidRDefault="00594288" w:rsidP="00594288">
      <w:pPr>
        <w:jc w:val="left"/>
      </w:pPr>
    </w:p>
    <w:p w14:paraId="2355A896" w14:textId="320378B1" w:rsidR="00594288" w:rsidRPr="00AF2775" w:rsidRDefault="00594288" w:rsidP="00A332E9">
      <w:pPr>
        <w:pStyle w:val="aa"/>
        <w:spacing w:before="312" w:after="312"/>
        <w:outlineLvl w:val="0"/>
        <w:rPr>
          <w:rFonts w:hAnsi="黑体" w:cs="Arial"/>
        </w:rPr>
      </w:pPr>
      <w:r w:rsidRPr="00AF2775">
        <w:rPr>
          <w:rFonts w:hAnsi="黑体" w:cs="Arial" w:hint="eastAsia"/>
        </w:rPr>
        <w:lastRenderedPageBreak/>
        <w:t>4</w:t>
      </w:r>
      <w:r w:rsidR="00DE5F70">
        <w:rPr>
          <w:rFonts w:hAnsi="黑体" w:cs="Arial"/>
        </w:rPr>
        <w:t xml:space="preserve"> </w:t>
      </w:r>
      <w:r w:rsidR="00DE5F70">
        <w:rPr>
          <w:rFonts w:hAnsi="黑体" w:cs="Arial" w:hint="eastAsia"/>
        </w:rPr>
        <w:t>基本</w:t>
      </w:r>
      <w:r w:rsidRPr="00AF2775">
        <w:rPr>
          <w:rFonts w:hAnsi="黑体" w:cs="Arial" w:hint="eastAsia"/>
        </w:rPr>
        <w:t>要求</w:t>
      </w:r>
    </w:p>
    <w:p w14:paraId="470ABDAD" w14:textId="77777777" w:rsidR="00DE5F70" w:rsidRDefault="00DE5F70" w:rsidP="00DE5F70">
      <w:pPr>
        <w:pStyle w:val="ab"/>
        <w:ind w:firstLineChars="0" w:firstLine="0"/>
        <w:jc w:val="left"/>
        <w:rPr>
          <w:color w:val="000000" w:themeColor="text1"/>
          <w:szCs w:val="22"/>
        </w:rPr>
      </w:pPr>
      <w:r>
        <w:rPr>
          <w:rFonts w:hint="eastAsia"/>
          <w:color w:val="000000" w:themeColor="text1"/>
          <w:szCs w:val="22"/>
        </w:rPr>
        <w:t>4.1 采暖散热器应符合明示执行标准及强制性国家标准的要求；</w:t>
      </w:r>
    </w:p>
    <w:p w14:paraId="021B65CD" w14:textId="77777777" w:rsidR="00DE5F70" w:rsidRDefault="00DE5F70" w:rsidP="00DE5F70">
      <w:pPr>
        <w:pStyle w:val="ab"/>
        <w:ind w:firstLineChars="0"/>
        <w:jc w:val="left"/>
        <w:rPr>
          <w:color w:val="000000" w:themeColor="text1"/>
          <w:szCs w:val="22"/>
        </w:rPr>
      </w:pPr>
    </w:p>
    <w:p w14:paraId="701D15AE" w14:textId="77777777" w:rsidR="00DE5F70" w:rsidRDefault="00DE5F70" w:rsidP="00DE5F70">
      <w:pPr>
        <w:pStyle w:val="ab"/>
        <w:ind w:firstLineChars="0" w:firstLine="0"/>
        <w:jc w:val="left"/>
        <w:rPr>
          <w:color w:val="000000" w:themeColor="text1"/>
          <w:szCs w:val="22"/>
        </w:rPr>
      </w:pPr>
      <w:r>
        <w:rPr>
          <w:rFonts w:hint="eastAsia"/>
          <w:color w:val="000000" w:themeColor="text1"/>
          <w:szCs w:val="22"/>
        </w:rPr>
        <w:t>4.2 生产企业近三年，企业无较大环境、安全、质量事故；</w:t>
      </w:r>
    </w:p>
    <w:p w14:paraId="26D5947F" w14:textId="77777777" w:rsidR="00DE5F70" w:rsidRDefault="00DE5F70" w:rsidP="00DE5F70">
      <w:pPr>
        <w:pStyle w:val="ab"/>
        <w:jc w:val="left"/>
        <w:rPr>
          <w:color w:val="000000" w:themeColor="text1"/>
          <w:szCs w:val="22"/>
        </w:rPr>
      </w:pPr>
    </w:p>
    <w:p w14:paraId="6AAEA646" w14:textId="77777777" w:rsidR="00DE5F70" w:rsidRDefault="00DE5F70" w:rsidP="00DE5F70">
      <w:pPr>
        <w:pStyle w:val="ab"/>
        <w:ind w:firstLineChars="0" w:firstLine="0"/>
        <w:jc w:val="left"/>
        <w:rPr>
          <w:rFonts w:ascii="Times New Roman"/>
          <w:color w:val="000000" w:themeColor="text1"/>
        </w:rPr>
      </w:pPr>
      <w:r>
        <w:rPr>
          <w:rFonts w:hint="eastAsia"/>
          <w:color w:val="000000" w:themeColor="text1"/>
          <w:szCs w:val="22"/>
        </w:rPr>
        <w:t>4.3</w:t>
      </w:r>
      <w:r>
        <w:rPr>
          <w:rFonts w:ascii="Times New Roman" w:hint="eastAsia"/>
          <w:color w:val="000000" w:themeColor="text1"/>
        </w:rPr>
        <w:t>企业无重大不良信誉记录；</w:t>
      </w:r>
    </w:p>
    <w:p w14:paraId="492DB8FA" w14:textId="77777777" w:rsidR="00DE5F70" w:rsidRDefault="00DE5F70" w:rsidP="00DE5F70">
      <w:pPr>
        <w:pStyle w:val="ab"/>
        <w:ind w:firstLineChars="0" w:firstLine="0"/>
        <w:jc w:val="left"/>
        <w:rPr>
          <w:color w:val="000000" w:themeColor="text1"/>
          <w:szCs w:val="22"/>
        </w:rPr>
      </w:pPr>
    </w:p>
    <w:p w14:paraId="7A1E17B9" w14:textId="77777777" w:rsidR="00DE5F70" w:rsidRDefault="00DE5F70" w:rsidP="00DE5F70">
      <w:pPr>
        <w:pStyle w:val="ab"/>
        <w:ind w:firstLineChars="0" w:firstLine="0"/>
        <w:jc w:val="left"/>
        <w:rPr>
          <w:color w:val="000000" w:themeColor="text1"/>
          <w:szCs w:val="22"/>
        </w:rPr>
      </w:pPr>
      <w:r>
        <w:rPr>
          <w:rFonts w:hint="eastAsia"/>
          <w:color w:val="000000" w:themeColor="text1"/>
          <w:szCs w:val="22"/>
        </w:rPr>
        <w:t>4.4</w:t>
      </w:r>
      <w:r>
        <w:rPr>
          <w:rFonts w:ascii="Times New Roman" w:hint="eastAsia"/>
          <w:color w:val="000000"/>
        </w:rPr>
        <w:t>企业应建立并运行符合产品或服务的管理体系</w:t>
      </w:r>
      <w:r>
        <w:rPr>
          <w:rFonts w:hint="eastAsia"/>
          <w:color w:val="000000" w:themeColor="text1"/>
          <w:szCs w:val="22"/>
        </w:rPr>
        <w:t>；</w:t>
      </w:r>
    </w:p>
    <w:p w14:paraId="6F810A4B" w14:textId="77777777" w:rsidR="00DE5F70" w:rsidRDefault="00DE5F70" w:rsidP="00DE5F70">
      <w:pPr>
        <w:pStyle w:val="ab"/>
        <w:ind w:firstLineChars="0"/>
        <w:jc w:val="left"/>
        <w:rPr>
          <w:color w:val="000000" w:themeColor="text1"/>
          <w:szCs w:val="22"/>
        </w:rPr>
      </w:pPr>
    </w:p>
    <w:p w14:paraId="283157EA" w14:textId="0EA7A91D" w:rsidR="00594288" w:rsidRPr="00DE5F70" w:rsidRDefault="00DE5F70" w:rsidP="00DE5F70">
      <w:pPr>
        <w:pStyle w:val="ab"/>
        <w:ind w:firstLineChars="0" w:firstLine="0"/>
        <w:jc w:val="left"/>
        <w:rPr>
          <w:color w:val="000000" w:themeColor="text1"/>
          <w:szCs w:val="22"/>
        </w:rPr>
      </w:pPr>
      <w:r>
        <w:rPr>
          <w:rFonts w:hint="eastAsia"/>
          <w:color w:val="000000" w:themeColor="text1"/>
          <w:szCs w:val="22"/>
        </w:rPr>
        <w:t>4.5 产品应为量产产品。</w:t>
      </w:r>
    </w:p>
    <w:p w14:paraId="4825445C" w14:textId="4D35ADF5" w:rsidR="00DE5F70" w:rsidRDefault="00594288" w:rsidP="00DE5F70">
      <w:pPr>
        <w:pStyle w:val="aa"/>
        <w:spacing w:before="312" w:after="312"/>
        <w:outlineLvl w:val="0"/>
        <w:rPr>
          <w:rFonts w:hAnsi="黑体" w:cs="Arial"/>
        </w:rPr>
      </w:pPr>
      <w:r w:rsidRPr="00AF2775">
        <w:rPr>
          <w:rFonts w:hAnsi="黑体" w:cs="Arial" w:hint="eastAsia"/>
        </w:rPr>
        <w:t xml:space="preserve">5 </w:t>
      </w:r>
      <w:r w:rsidR="00DE5F70" w:rsidRPr="00DE5F70">
        <w:rPr>
          <w:rFonts w:hAnsi="黑体" w:cs="Arial" w:hint="eastAsia"/>
        </w:rPr>
        <w:t>评价指标体系</w:t>
      </w:r>
    </w:p>
    <w:p w14:paraId="2D1E361B" w14:textId="77777777" w:rsidR="00DE5F70" w:rsidRDefault="00DE5F70" w:rsidP="00DE5F70">
      <w:pPr>
        <w:pStyle w:val="ab"/>
        <w:ind w:firstLineChars="0" w:firstLine="0"/>
        <w:jc w:val="left"/>
        <w:rPr>
          <w:rFonts w:ascii="黑体" w:eastAsia="黑体" w:hAnsi="黑体" w:cs="黑体"/>
          <w:color w:val="000000" w:themeColor="text1"/>
          <w:szCs w:val="22"/>
        </w:rPr>
      </w:pPr>
      <w:r>
        <w:rPr>
          <w:rFonts w:ascii="黑体" w:eastAsia="黑体" w:hAnsi="黑体" w:cs="黑体" w:hint="eastAsia"/>
          <w:color w:val="000000" w:themeColor="text1"/>
          <w:szCs w:val="22"/>
        </w:rPr>
        <w:t>5</w:t>
      </w:r>
      <w:r>
        <w:rPr>
          <w:rFonts w:ascii="黑体" w:eastAsia="黑体" w:hAnsi="黑体" w:cs="黑体"/>
          <w:color w:val="000000" w:themeColor="text1"/>
          <w:szCs w:val="22"/>
        </w:rPr>
        <w:t xml:space="preserve">.1  </w:t>
      </w:r>
      <w:r>
        <w:rPr>
          <w:rFonts w:ascii="黑体" w:eastAsia="黑体" w:hAnsi="黑体" w:cs="黑体" w:hint="eastAsia"/>
          <w:color w:val="000000" w:themeColor="text1"/>
          <w:szCs w:val="22"/>
        </w:rPr>
        <w:t>基础指标</w:t>
      </w:r>
    </w:p>
    <w:p w14:paraId="7B0E6539" w14:textId="77777777" w:rsidR="00DE5F70" w:rsidRDefault="00DE5F70" w:rsidP="00DE5F70">
      <w:pPr>
        <w:pStyle w:val="ab"/>
        <w:ind w:firstLineChars="0" w:firstLine="0"/>
        <w:jc w:val="left"/>
        <w:rPr>
          <w:rFonts w:asciiTheme="majorEastAsia" w:eastAsiaTheme="majorEastAsia" w:hAnsiTheme="majorEastAsia" w:cstheme="majorEastAsia"/>
          <w:color w:val="000000" w:themeColor="text1"/>
          <w:szCs w:val="22"/>
        </w:rPr>
      </w:pPr>
    </w:p>
    <w:p w14:paraId="724E3D7B" w14:textId="77777777" w:rsidR="00DE5F70" w:rsidRDefault="00DE5F70" w:rsidP="00DE5F70">
      <w:pPr>
        <w:pStyle w:val="ab"/>
        <w:ind w:firstLineChars="0" w:firstLine="0"/>
        <w:jc w:val="left"/>
        <w:rPr>
          <w:rFonts w:asciiTheme="majorEastAsia" w:eastAsiaTheme="majorEastAsia" w:hAnsiTheme="majorEastAsia" w:cstheme="majorEastAsia"/>
          <w:color w:val="000000" w:themeColor="text1"/>
          <w:szCs w:val="22"/>
        </w:rPr>
      </w:pPr>
      <w:r>
        <w:rPr>
          <w:rFonts w:asciiTheme="majorEastAsia" w:eastAsiaTheme="majorEastAsia" w:hAnsiTheme="majorEastAsia" w:cstheme="majorEastAsia" w:hint="eastAsia"/>
          <w:color w:val="000000" w:themeColor="text1"/>
          <w:szCs w:val="22"/>
        </w:rPr>
        <w:t>5.1.1 标准散热量</w:t>
      </w:r>
    </w:p>
    <w:p w14:paraId="3E99889A" w14:textId="77777777" w:rsidR="00DE5F70" w:rsidRDefault="00DE5F70" w:rsidP="00DE5F70">
      <w:pPr>
        <w:pStyle w:val="ab"/>
        <w:ind w:firstLineChars="0" w:firstLine="0"/>
        <w:jc w:val="left"/>
      </w:pPr>
    </w:p>
    <w:p w14:paraId="231A4B99" w14:textId="77777777" w:rsidR="00DE5F70" w:rsidRDefault="00DE5F70" w:rsidP="00DE5F70">
      <w:pPr>
        <w:pStyle w:val="ab"/>
        <w:ind w:firstLineChars="0" w:firstLine="0"/>
        <w:jc w:val="left"/>
        <w:rPr>
          <w:rFonts w:asciiTheme="majorEastAsia" w:eastAsiaTheme="majorEastAsia" w:hAnsiTheme="majorEastAsia" w:cstheme="majorEastAsia"/>
          <w:color w:val="000000" w:themeColor="text1"/>
          <w:szCs w:val="22"/>
        </w:rPr>
      </w:pPr>
      <w:r>
        <w:rPr>
          <w:rFonts w:hint="eastAsia"/>
        </w:rPr>
        <w:t>散热器的标准散热量应大于或等于制造厂明示标准散热量的95%。</w:t>
      </w:r>
    </w:p>
    <w:p w14:paraId="42D2E348" w14:textId="77777777" w:rsidR="00DE5F70" w:rsidRDefault="00DE5F70" w:rsidP="00DE5F70">
      <w:pPr>
        <w:pStyle w:val="ab"/>
        <w:ind w:firstLineChars="0" w:firstLine="0"/>
        <w:jc w:val="left"/>
        <w:rPr>
          <w:rFonts w:asciiTheme="majorEastAsia" w:eastAsiaTheme="majorEastAsia" w:hAnsiTheme="majorEastAsia" w:cstheme="majorEastAsia"/>
          <w:color w:val="000000" w:themeColor="text1"/>
          <w:szCs w:val="22"/>
        </w:rPr>
      </w:pPr>
    </w:p>
    <w:p w14:paraId="2F660B90" w14:textId="77777777" w:rsidR="00DE5F70" w:rsidRDefault="00DE5F70" w:rsidP="00DE5F70">
      <w:pPr>
        <w:pStyle w:val="ab"/>
        <w:ind w:firstLineChars="0" w:firstLine="0"/>
        <w:jc w:val="left"/>
        <w:rPr>
          <w:rFonts w:asciiTheme="majorEastAsia" w:eastAsiaTheme="majorEastAsia" w:hAnsiTheme="majorEastAsia" w:cstheme="majorEastAsia"/>
          <w:color w:val="000000" w:themeColor="text1"/>
          <w:szCs w:val="22"/>
        </w:rPr>
      </w:pPr>
      <w:r>
        <w:rPr>
          <w:rFonts w:asciiTheme="majorEastAsia" w:eastAsiaTheme="majorEastAsia" w:hAnsiTheme="majorEastAsia" w:cstheme="majorEastAsia" w:hint="eastAsia"/>
          <w:color w:val="000000" w:themeColor="text1"/>
          <w:szCs w:val="22"/>
        </w:rPr>
        <w:t>5.1.4 工作</w:t>
      </w:r>
      <w:r>
        <w:rPr>
          <w:rFonts w:eastAsiaTheme="majorEastAsia" w:hAnsi="宋体" w:hint="eastAsia"/>
          <w:color w:val="000000" w:themeColor="text1"/>
        </w:rPr>
        <w:t>压力</w:t>
      </w:r>
    </w:p>
    <w:p w14:paraId="78D654F2" w14:textId="77777777" w:rsidR="00DE5F70" w:rsidRDefault="00DE5F70" w:rsidP="00DE5F70">
      <w:pPr>
        <w:pStyle w:val="ab"/>
        <w:ind w:firstLineChars="0" w:firstLine="0"/>
        <w:jc w:val="left"/>
        <w:rPr>
          <w:rFonts w:asciiTheme="majorEastAsia" w:eastAsiaTheme="majorEastAsia" w:hAnsiTheme="majorEastAsia" w:cstheme="majorEastAsia"/>
          <w:color w:val="000000" w:themeColor="text1"/>
          <w:szCs w:val="22"/>
        </w:rPr>
      </w:pPr>
    </w:p>
    <w:p w14:paraId="5185CC9C" w14:textId="77777777" w:rsidR="00DE5F70" w:rsidRDefault="00DE5F70" w:rsidP="00DE5F70">
      <w:pPr>
        <w:pStyle w:val="ab"/>
        <w:ind w:firstLineChars="0" w:firstLine="0"/>
        <w:jc w:val="left"/>
        <w:rPr>
          <w:rFonts w:asciiTheme="majorEastAsia" w:eastAsiaTheme="majorEastAsia" w:hAnsiTheme="majorEastAsia" w:cstheme="majorEastAsia"/>
          <w:color w:val="000000" w:themeColor="text1"/>
          <w:szCs w:val="22"/>
        </w:rPr>
      </w:pPr>
      <w:r>
        <w:rPr>
          <w:rFonts w:hint="eastAsia"/>
        </w:rPr>
        <w:t>散热器最小工作压力应大于或等于0.4MPa，且应满足采暖散热器的工作要求。</w:t>
      </w:r>
    </w:p>
    <w:p w14:paraId="150770E3" w14:textId="77777777" w:rsidR="00DE5F70" w:rsidRDefault="00DE5F70" w:rsidP="00DE5F70">
      <w:pPr>
        <w:pStyle w:val="ab"/>
        <w:ind w:firstLineChars="0" w:firstLine="0"/>
        <w:jc w:val="left"/>
        <w:rPr>
          <w:rFonts w:asciiTheme="majorEastAsia" w:eastAsiaTheme="majorEastAsia" w:hAnsiTheme="majorEastAsia" w:cstheme="majorEastAsia"/>
          <w:color w:val="000000" w:themeColor="text1"/>
          <w:szCs w:val="22"/>
        </w:rPr>
      </w:pPr>
    </w:p>
    <w:p w14:paraId="598283BD" w14:textId="77777777" w:rsidR="00DE5F70" w:rsidRDefault="00DE5F70" w:rsidP="00DE5F70">
      <w:pPr>
        <w:pStyle w:val="ab"/>
        <w:ind w:firstLineChars="0" w:firstLine="0"/>
        <w:jc w:val="left"/>
        <w:rPr>
          <w:rFonts w:asciiTheme="majorEastAsia" w:eastAsiaTheme="majorEastAsia" w:hAnsiTheme="majorEastAsia" w:cstheme="majorEastAsia"/>
          <w:color w:val="000000" w:themeColor="text1"/>
          <w:szCs w:val="22"/>
        </w:rPr>
      </w:pPr>
      <w:r>
        <w:rPr>
          <w:rFonts w:asciiTheme="majorEastAsia" w:eastAsiaTheme="majorEastAsia" w:hAnsiTheme="majorEastAsia" w:cstheme="majorEastAsia" w:hint="eastAsia"/>
          <w:color w:val="000000" w:themeColor="text1"/>
          <w:szCs w:val="22"/>
        </w:rPr>
        <w:t xml:space="preserve">5.1.5 </w:t>
      </w:r>
      <w:r>
        <w:rPr>
          <w:rFonts w:eastAsiaTheme="majorEastAsia" w:hAnsi="宋体" w:hint="eastAsia"/>
          <w:color w:val="000000" w:themeColor="text1"/>
        </w:rPr>
        <w:t>螺纹质量</w:t>
      </w:r>
    </w:p>
    <w:p w14:paraId="7F04CA3D" w14:textId="77777777" w:rsidR="00DE5F70" w:rsidRDefault="00DE5F70" w:rsidP="00DE5F70">
      <w:pPr>
        <w:pStyle w:val="ab"/>
        <w:ind w:firstLineChars="0" w:firstLine="0"/>
        <w:jc w:val="left"/>
        <w:rPr>
          <w:rFonts w:asciiTheme="majorEastAsia" w:eastAsiaTheme="majorEastAsia" w:hAnsiTheme="majorEastAsia" w:cstheme="majorEastAsia"/>
          <w:color w:val="000000" w:themeColor="text1"/>
          <w:szCs w:val="22"/>
        </w:rPr>
      </w:pPr>
    </w:p>
    <w:p w14:paraId="75CF8B88" w14:textId="77777777" w:rsidR="00DE5F70" w:rsidRDefault="00DE5F70" w:rsidP="00DE5F70">
      <w:pPr>
        <w:pStyle w:val="ab"/>
        <w:ind w:firstLineChars="0" w:firstLine="0"/>
        <w:jc w:val="left"/>
      </w:pPr>
      <w:r>
        <w:rPr>
          <w:rFonts w:hint="eastAsia"/>
        </w:rPr>
        <w:t>散热器接口采用螺纹连接，螺纹应保证至少3.5扣完整，不得有缺陷。</w:t>
      </w:r>
    </w:p>
    <w:p w14:paraId="3628C689" w14:textId="77777777" w:rsidR="00DE5F70" w:rsidRDefault="00DE5F70" w:rsidP="00DE5F70">
      <w:pPr>
        <w:pStyle w:val="ab"/>
        <w:ind w:firstLineChars="0" w:firstLine="0"/>
        <w:jc w:val="left"/>
        <w:rPr>
          <w:rFonts w:ascii="Times New Roman"/>
          <w:color w:val="000000" w:themeColor="text1"/>
          <w:szCs w:val="21"/>
        </w:rPr>
      </w:pPr>
    </w:p>
    <w:p w14:paraId="55553F6C" w14:textId="77777777" w:rsidR="00DE5F70" w:rsidRDefault="00DE5F70" w:rsidP="00DE5F70">
      <w:pPr>
        <w:pStyle w:val="ab"/>
        <w:ind w:firstLineChars="0" w:firstLine="0"/>
        <w:jc w:val="left"/>
        <w:rPr>
          <w:rFonts w:asciiTheme="majorEastAsia" w:eastAsiaTheme="majorEastAsia" w:hAnsiTheme="majorEastAsia" w:cstheme="majorEastAsia"/>
          <w:b/>
          <w:bCs/>
          <w:color w:val="000000" w:themeColor="text1"/>
          <w:szCs w:val="22"/>
        </w:rPr>
      </w:pPr>
      <w:r>
        <w:rPr>
          <w:rFonts w:asciiTheme="majorEastAsia" w:eastAsiaTheme="majorEastAsia" w:hAnsiTheme="majorEastAsia" w:cstheme="majorEastAsia" w:hint="eastAsia"/>
          <w:b/>
          <w:bCs/>
          <w:color w:val="000000" w:themeColor="text1"/>
          <w:szCs w:val="22"/>
        </w:rPr>
        <w:t>5.2 核心指标</w:t>
      </w:r>
    </w:p>
    <w:p w14:paraId="426F0147" w14:textId="77777777" w:rsidR="00DE5F70" w:rsidRDefault="00DE5F70" w:rsidP="00DE5F70">
      <w:pPr>
        <w:pStyle w:val="ab"/>
        <w:ind w:firstLineChars="0" w:firstLine="0"/>
        <w:jc w:val="left"/>
        <w:rPr>
          <w:rFonts w:asciiTheme="majorEastAsia" w:eastAsiaTheme="majorEastAsia" w:hAnsiTheme="majorEastAsia" w:cstheme="majorEastAsia"/>
          <w:color w:val="000000" w:themeColor="text1"/>
          <w:szCs w:val="22"/>
        </w:rPr>
      </w:pPr>
    </w:p>
    <w:p w14:paraId="3790E1FA" w14:textId="77777777" w:rsidR="00DE5F70" w:rsidRDefault="00DE5F70" w:rsidP="00DE5F70">
      <w:pPr>
        <w:pStyle w:val="ab"/>
        <w:ind w:firstLineChars="0" w:firstLine="0"/>
        <w:jc w:val="left"/>
        <w:rPr>
          <w:rFonts w:asciiTheme="majorEastAsia" w:eastAsiaTheme="majorEastAsia" w:hAnsiTheme="majorEastAsia" w:cstheme="majorEastAsia"/>
          <w:color w:val="000000" w:themeColor="text1"/>
          <w:szCs w:val="22"/>
        </w:rPr>
      </w:pPr>
      <w:r>
        <w:rPr>
          <w:rFonts w:asciiTheme="majorEastAsia" w:eastAsiaTheme="majorEastAsia" w:hAnsiTheme="majorEastAsia" w:cstheme="majorEastAsia" w:hint="eastAsia"/>
          <w:color w:val="000000" w:themeColor="text1"/>
          <w:szCs w:val="22"/>
        </w:rPr>
        <w:t>5.2.1</w:t>
      </w:r>
      <w:r>
        <w:rPr>
          <w:rFonts w:eastAsiaTheme="majorEastAsia" w:hAnsi="宋体" w:hint="eastAsia"/>
          <w:color w:val="000000" w:themeColor="text1"/>
        </w:rPr>
        <w:t>最小金属热强度</w:t>
      </w:r>
    </w:p>
    <w:p w14:paraId="4C39FDD9" w14:textId="77777777" w:rsidR="00DE5F70" w:rsidRDefault="00DE5F70" w:rsidP="00DE5F70">
      <w:pPr>
        <w:pStyle w:val="ab"/>
        <w:ind w:firstLineChars="0" w:firstLine="0"/>
        <w:jc w:val="left"/>
        <w:rPr>
          <w:rFonts w:asciiTheme="majorEastAsia" w:eastAsiaTheme="majorEastAsia" w:hAnsiTheme="majorEastAsia" w:cstheme="majorEastAsia"/>
          <w:color w:val="000000" w:themeColor="text1"/>
          <w:szCs w:val="22"/>
        </w:rPr>
      </w:pPr>
    </w:p>
    <w:p w14:paraId="67CC595A" w14:textId="77777777" w:rsidR="00DE5F70" w:rsidRDefault="00DE5F70" w:rsidP="00DE5F70">
      <w:pPr>
        <w:pStyle w:val="ab"/>
        <w:ind w:firstLineChars="0" w:firstLine="0"/>
        <w:jc w:val="center"/>
        <w:rPr>
          <w:rFonts w:asciiTheme="majorEastAsia" w:eastAsiaTheme="majorEastAsia" w:hAnsiTheme="majorEastAsia" w:cstheme="majorEastAsia"/>
          <w:color w:val="000000" w:themeColor="text1"/>
          <w:szCs w:val="22"/>
        </w:rPr>
      </w:pPr>
      <w:r>
        <w:rPr>
          <w:rFonts w:asciiTheme="majorEastAsia" w:eastAsiaTheme="majorEastAsia" w:hAnsiTheme="majorEastAsia" w:cstheme="majorEastAsia" w:hint="eastAsia"/>
          <w:color w:val="000000" w:themeColor="text1"/>
          <w:szCs w:val="22"/>
        </w:rPr>
        <w:t>表1最小金属热强度等级指标</w:t>
      </w:r>
    </w:p>
    <w:tbl>
      <w:tblPr>
        <w:tblStyle w:val="ad"/>
        <w:tblW w:w="8584" w:type="dxa"/>
        <w:tblInd w:w="380" w:type="dxa"/>
        <w:tblLayout w:type="fixed"/>
        <w:tblLook w:val="04A0" w:firstRow="1" w:lastRow="0" w:firstColumn="1" w:lastColumn="0" w:noHBand="0" w:noVBand="1"/>
      </w:tblPr>
      <w:tblGrid>
        <w:gridCol w:w="2989"/>
        <w:gridCol w:w="2835"/>
        <w:gridCol w:w="2760"/>
      </w:tblGrid>
      <w:tr w:rsidR="00DE5F70" w14:paraId="16B79135" w14:textId="77777777" w:rsidTr="00FA67A6">
        <w:trPr>
          <w:trHeight w:val="518"/>
        </w:trPr>
        <w:tc>
          <w:tcPr>
            <w:tcW w:w="2989" w:type="dxa"/>
          </w:tcPr>
          <w:p w14:paraId="258CC4A3" w14:textId="77777777" w:rsidR="00DE5F70" w:rsidRDefault="00DE5F70" w:rsidP="00FA67A6">
            <w:pPr>
              <w:spacing w:line="300" w:lineRule="auto"/>
              <w:jc w:val="center"/>
              <w:rPr>
                <w:rFonts w:asciiTheme="majorEastAsia" w:eastAsiaTheme="majorEastAsia" w:hAnsiTheme="majorEastAsia" w:cstheme="majorEastAsia"/>
                <w:color w:val="000000" w:themeColor="text1"/>
                <w:kern w:val="0"/>
              </w:rPr>
            </w:pPr>
            <w:r>
              <w:rPr>
                <w:rFonts w:asciiTheme="majorEastAsia" w:eastAsiaTheme="majorEastAsia" w:hAnsiTheme="majorEastAsia" w:cstheme="majorEastAsia" w:hint="eastAsia"/>
                <w:color w:val="000000" w:themeColor="text1"/>
                <w:kern w:val="0"/>
              </w:rPr>
              <w:t>先进值（5星级）</w:t>
            </w:r>
          </w:p>
        </w:tc>
        <w:tc>
          <w:tcPr>
            <w:tcW w:w="2835" w:type="dxa"/>
          </w:tcPr>
          <w:p w14:paraId="24606D1F" w14:textId="77777777" w:rsidR="00DE5F70" w:rsidRDefault="00DE5F70" w:rsidP="00FA67A6">
            <w:pPr>
              <w:spacing w:line="300" w:lineRule="auto"/>
              <w:jc w:val="center"/>
              <w:rPr>
                <w:rFonts w:asciiTheme="majorEastAsia" w:eastAsiaTheme="majorEastAsia" w:hAnsiTheme="majorEastAsia" w:cstheme="majorEastAsia"/>
                <w:color w:val="000000" w:themeColor="text1"/>
                <w:kern w:val="0"/>
              </w:rPr>
            </w:pPr>
            <w:r>
              <w:rPr>
                <w:rFonts w:asciiTheme="majorEastAsia" w:eastAsiaTheme="majorEastAsia" w:hAnsiTheme="majorEastAsia" w:cstheme="majorEastAsia" w:hint="eastAsia"/>
                <w:color w:val="000000" w:themeColor="text1"/>
                <w:kern w:val="0"/>
              </w:rPr>
              <w:t>一般值（4星级）</w:t>
            </w:r>
          </w:p>
        </w:tc>
        <w:tc>
          <w:tcPr>
            <w:tcW w:w="2760" w:type="dxa"/>
          </w:tcPr>
          <w:p w14:paraId="2246F1D1" w14:textId="77777777" w:rsidR="00DE5F70" w:rsidRDefault="00DE5F70" w:rsidP="00FA67A6">
            <w:pPr>
              <w:spacing w:line="300" w:lineRule="auto"/>
              <w:jc w:val="center"/>
              <w:rPr>
                <w:rFonts w:asciiTheme="majorEastAsia" w:eastAsiaTheme="majorEastAsia" w:hAnsiTheme="majorEastAsia" w:cstheme="majorEastAsia"/>
                <w:color w:val="000000" w:themeColor="text1"/>
                <w:kern w:val="0"/>
              </w:rPr>
            </w:pPr>
            <w:r>
              <w:rPr>
                <w:rFonts w:asciiTheme="majorEastAsia" w:eastAsiaTheme="majorEastAsia" w:hAnsiTheme="majorEastAsia" w:cstheme="majorEastAsia" w:hint="eastAsia"/>
                <w:color w:val="000000" w:themeColor="text1"/>
                <w:kern w:val="0"/>
              </w:rPr>
              <w:t>基准值（3星级）</w:t>
            </w:r>
          </w:p>
        </w:tc>
      </w:tr>
      <w:tr w:rsidR="00DE5F70" w14:paraId="466CCFE2" w14:textId="77777777" w:rsidTr="00FA67A6">
        <w:trPr>
          <w:trHeight w:val="680"/>
        </w:trPr>
        <w:tc>
          <w:tcPr>
            <w:tcW w:w="2989" w:type="dxa"/>
            <w:vAlign w:val="center"/>
          </w:tcPr>
          <w:p w14:paraId="1B4A4D29" w14:textId="77777777" w:rsidR="00DE5F70" w:rsidRDefault="00DE5F70" w:rsidP="00FA67A6">
            <w:pPr>
              <w:pStyle w:val="ab"/>
              <w:ind w:firstLineChars="0" w:firstLine="0"/>
              <w:jc w:val="left"/>
              <w:rPr>
                <w:rFonts w:asciiTheme="majorEastAsia" w:eastAsiaTheme="majorEastAsia" w:hAnsiTheme="majorEastAsia" w:cstheme="majorEastAsia"/>
                <w:color w:val="000000" w:themeColor="text1"/>
                <w:szCs w:val="22"/>
              </w:rPr>
            </w:pPr>
            <w:r>
              <w:rPr>
                <w:rFonts w:eastAsiaTheme="majorEastAsia" w:hAnsi="宋体" w:hint="eastAsia"/>
                <w:color w:val="000000" w:themeColor="text1"/>
              </w:rPr>
              <w:t>最小金属热强度</w:t>
            </w:r>
            <w:r>
              <w:rPr>
                <w:rFonts w:hAnsi="宋体" w:hint="eastAsia"/>
                <w:color w:val="000000" w:themeColor="text1"/>
              </w:rPr>
              <w:t>≥</w:t>
            </w:r>
            <w:r>
              <w:rPr>
                <w:rFonts w:hint="eastAsia"/>
              </w:rPr>
              <w:t>0.85 W/(kg·K)</w:t>
            </w:r>
          </w:p>
        </w:tc>
        <w:tc>
          <w:tcPr>
            <w:tcW w:w="2835" w:type="dxa"/>
            <w:vAlign w:val="center"/>
          </w:tcPr>
          <w:p w14:paraId="0C7EEC7F" w14:textId="77777777" w:rsidR="00DE5F70" w:rsidRDefault="00DE5F70" w:rsidP="00FA67A6">
            <w:pPr>
              <w:pStyle w:val="ab"/>
              <w:ind w:firstLineChars="0" w:firstLine="0"/>
              <w:jc w:val="left"/>
              <w:rPr>
                <w:rFonts w:asciiTheme="majorEastAsia" w:eastAsiaTheme="majorEastAsia" w:hAnsiTheme="majorEastAsia" w:cstheme="majorEastAsia"/>
                <w:color w:val="000000" w:themeColor="text1"/>
                <w:szCs w:val="22"/>
              </w:rPr>
            </w:pPr>
            <w:r>
              <w:rPr>
                <w:rFonts w:eastAsiaTheme="majorEastAsia" w:hAnsi="宋体" w:hint="eastAsia"/>
                <w:color w:val="000000" w:themeColor="text1"/>
              </w:rPr>
              <w:t>最小金属热强度</w:t>
            </w:r>
            <w:r>
              <w:rPr>
                <w:rFonts w:hAnsi="宋体" w:hint="eastAsia"/>
                <w:color w:val="000000" w:themeColor="text1"/>
              </w:rPr>
              <w:t>≥</w:t>
            </w:r>
            <w:r>
              <w:rPr>
                <w:rFonts w:hint="eastAsia"/>
              </w:rPr>
              <w:t>0.80 W/(kg·K)</w:t>
            </w:r>
          </w:p>
        </w:tc>
        <w:tc>
          <w:tcPr>
            <w:tcW w:w="2760" w:type="dxa"/>
            <w:vAlign w:val="center"/>
          </w:tcPr>
          <w:p w14:paraId="7C438C5D" w14:textId="77777777" w:rsidR="00DE5F70" w:rsidRDefault="00DE5F70" w:rsidP="00FA67A6">
            <w:pPr>
              <w:pStyle w:val="ab"/>
              <w:ind w:firstLineChars="0" w:firstLine="0"/>
              <w:jc w:val="left"/>
              <w:rPr>
                <w:rFonts w:asciiTheme="majorEastAsia" w:eastAsiaTheme="majorEastAsia" w:hAnsiTheme="majorEastAsia" w:cstheme="majorEastAsia"/>
                <w:color w:val="000000" w:themeColor="text1"/>
                <w:szCs w:val="22"/>
              </w:rPr>
            </w:pPr>
            <w:r>
              <w:rPr>
                <w:rFonts w:eastAsiaTheme="majorEastAsia" w:hAnsi="宋体" w:hint="eastAsia"/>
                <w:color w:val="000000" w:themeColor="text1"/>
              </w:rPr>
              <w:t>最小金属热强度</w:t>
            </w:r>
            <w:r>
              <w:rPr>
                <w:rFonts w:hAnsi="宋体" w:hint="eastAsia"/>
                <w:color w:val="000000" w:themeColor="text1"/>
              </w:rPr>
              <w:t>≥</w:t>
            </w:r>
            <w:r>
              <w:rPr>
                <w:rFonts w:hint="eastAsia"/>
              </w:rPr>
              <w:t>0.75 W/(kg·K)</w:t>
            </w:r>
          </w:p>
        </w:tc>
      </w:tr>
    </w:tbl>
    <w:p w14:paraId="795A51B8" w14:textId="77777777" w:rsidR="00DE5F70" w:rsidRPr="00DE5F70" w:rsidRDefault="00DE5F70" w:rsidP="00DE5F70">
      <w:pPr>
        <w:pStyle w:val="aa"/>
        <w:spacing w:before="312" w:after="312"/>
        <w:outlineLvl w:val="0"/>
        <w:rPr>
          <w:rFonts w:hAnsi="黑体" w:cs="Arial"/>
        </w:rPr>
      </w:pPr>
      <w:r w:rsidRPr="00DE5F70">
        <w:rPr>
          <w:rFonts w:hAnsi="黑体" w:cs="Arial" w:hint="eastAsia"/>
        </w:rPr>
        <w:t>6 评价方法及等级划分</w:t>
      </w:r>
    </w:p>
    <w:p w14:paraId="19D90C5F" w14:textId="77777777" w:rsidR="00DE5F70" w:rsidRDefault="00DE5F70" w:rsidP="00DE5F70">
      <w:pPr>
        <w:pStyle w:val="ab"/>
        <w:ind w:firstLineChars="0"/>
        <w:jc w:val="left"/>
        <w:rPr>
          <w:rFonts w:asciiTheme="majorEastAsia" w:eastAsiaTheme="majorEastAsia" w:hAnsiTheme="majorEastAsia" w:cstheme="majorEastAsia"/>
          <w:bCs/>
          <w:color w:val="000000" w:themeColor="text1"/>
          <w:szCs w:val="22"/>
        </w:rPr>
      </w:pPr>
      <w:r>
        <w:rPr>
          <w:rFonts w:ascii="Times New Roman" w:hint="eastAsia"/>
          <w:kern w:val="2"/>
          <w:szCs w:val="24"/>
        </w:rPr>
        <w:t>采暖散热器的</w:t>
      </w:r>
      <w:r>
        <w:rPr>
          <w:rFonts w:hAnsi="宋体" w:hint="eastAsia"/>
          <w:color w:val="000000"/>
        </w:rPr>
        <w:t>“领跑者”标准</w:t>
      </w:r>
      <w:r>
        <w:rPr>
          <w:rFonts w:ascii="Times New Roman" w:hint="eastAsia"/>
          <w:color w:val="000000"/>
          <w:szCs w:val="22"/>
        </w:rPr>
        <w:t>应</w:t>
      </w:r>
      <w:r>
        <w:rPr>
          <w:rFonts w:ascii="Times New Roman" w:hint="eastAsia"/>
          <w:bCs/>
          <w:color w:val="000000"/>
          <w:szCs w:val="22"/>
        </w:rPr>
        <w:t>将评价结果划分为一级、二级和三级，</w:t>
      </w:r>
      <w:r>
        <w:rPr>
          <w:rFonts w:asciiTheme="majorEastAsia" w:eastAsiaTheme="majorEastAsia" w:hAnsiTheme="majorEastAsia" w:cstheme="majorEastAsia" w:hint="eastAsia"/>
          <w:bCs/>
          <w:color w:val="000000" w:themeColor="text1"/>
          <w:szCs w:val="22"/>
        </w:rPr>
        <w:t>各等级需满足的</w:t>
      </w:r>
      <w:r>
        <w:rPr>
          <w:rFonts w:asciiTheme="majorEastAsia" w:eastAsiaTheme="majorEastAsia" w:hAnsiTheme="majorEastAsia" w:cstheme="majorEastAsia" w:hint="eastAsia"/>
          <w:color w:val="000000" w:themeColor="text1"/>
          <w:szCs w:val="22"/>
        </w:rPr>
        <w:t>指标要求</w:t>
      </w:r>
      <w:r>
        <w:rPr>
          <w:rFonts w:asciiTheme="majorEastAsia" w:eastAsiaTheme="majorEastAsia" w:hAnsiTheme="majorEastAsia" w:cstheme="majorEastAsia" w:hint="eastAsia"/>
          <w:bCs/>
          <w:color w:val="000000" w:themeColor="text1"/>
          <w:szCs w:val="22"/>
        </w:rPr>
        <w:t>见表9。</w:t>
      </w:r>
      <w:r>
        <w:rPr>
          <w:rFonts w:ascii="Times New Roman" w:hint="eastAsia"/>
          <w:bCs/>
          <w:color w:val="000000"/>
          <w:szCs w:val="22"/>
        </w:rPr>
        <w:t>达到三级要求及以上的企业标准并按照有关要求进行自我声明公开后均可进入所对应的具体产品或服务企业标准排行榜。达到一级要求的企业标准，且按照有关要求进行自我声明公开后，其标准和符合标准的产品或服务可以直接进入所对应具体产品或服务的企业标准“领跑者”候选名单。</w:t>
      </w:r>
    </w:p>
    <w:p w14:paraId="36BC470B" w14:textId="77777777" w:rsidR="00DE5F70" w:rsidRDefault="00DE5F70" w:rsidP="00DE5F70">
      <w:pPr>
        <w:pStyle w:val="ab"/>
        <w:ind w:firstLineChars="0"/>
        <w:jc w:val="center"/>
        <w:rPr>
          <w:rFonts w:asciiTheme="majorEastAsia" w:eastAsiaTheme="majorEastAsia" w:hAnsiTheme="majorEastAsia" w:cstheme="majorEastAsia"/>
          <w:color w:val="000000" w:themeColor="text1"/>
          <w:szCs w:val="22"/>
        </w:rPr>
      </w:pPr>
    </w:p>
    <w:p w14:paraId="6FFE431D" w14:textId="77777777" w:rsidR="00DE5F70" w:rsidRDefault="00DE5F70" w:rsidP="00DE5F70">
      <w:pPr>
        <w:pStyle w:val="ab"/>
        <w:ind w:firstLineChars="0"/>
        <w:jc w:val="center"/>
        <w:rPr>
          <w:rFonts w:asciiTheme="majorEastAsia" w:eastAsiaTheme="majorEastAsia" w:hAnsiTheme="majorEastAsia" w:cstheme="majorEastAsia"/>
          <w:color w:val="000000" w:themeColor="text1"/>
          <w:szCs w:val="22"/>
        </w:rPr>
      </w:pPr>
      <w:r>
        <w:rPr>
          <w:rFonts w:asciiTheme="majorEastAsia" w:eastAsiaTheme="majorEastAsia" w:hAnsiTheme="majorEastAsia" w:cstheme="majorEastAsia" w:hint="eastAsia"/>
          <w:color w:val="000000" w:themeColor="text1"/>
          <w:szCs w:val="22"/>
        </w:rPr>
        <w:lastRenderedPageBreak/>
        <w:t>表9 指标评价要求等级划分</w:t>
      </w:r>
    </w:p>
    <w:tbl>
      <w:tblPr>
        <w:tblStyle w:val="ad"/>
        <w:tblW w:w="9157" w:type="dxa"/>
        <w:jc w:val="center"/>
        <w:tblLayout w:type="fixed"/>
        <w:tblLook w:val="04A0" w:firstRow="1" w:lastRow="0" w:firstColumn="1" w:lastColumn="0" w:noHBand="0" w:noVBand="1"/>
      </w:tblPr>
      <w:tblGrid>
        <w:gridCol w:w="1596"/>
        <w:gridCol w:w="1140"/>
        <w:gridCol w:w="1418"/>
        <w:gridCol w:w="2541"/>
        <w:gridCol w:w="2462"/>
      </w:tblGrid>
      <w:tr w:rsidR="00DE5F70" w14:paraId="134C7CC5" w14:textId="77777777" w:rsidTr="00FA67A6">
        <w:trPr>
          <w:trHeight w:val="375"/>
          <w:jc w:val="center"/>
        </w:trPr>
        <w:tc>
          <w:tcPr>
            <w:tcW w:w="1596" w:type="dxa"/>
            <w:tcBorders>
              <w:bottom w:val="single" w:sz="4" w:space="0" w:color="auto"/>
            </w:tcBorders>
            <w:vAlign w:val="center"/>
          </w:tcPr>
          <w:p w14:paraId="0861B2BD" w14:textId="77777777" w:rsidR="00DE5F70" w:rsidRDefault="00DE5F70" w:rsidP="00FA67A6">
            <w:pPr>
              <w:pStyle w:val="ab"/>
              <w:snapToGrid w:val="0"/>
              <w:spacing w:before="78" w:after="78"/>
              <w:ind w:firstLineChars="0" w:firstLine="0"/>
              <w:jc w:val="center"/>
              <w:rPr>
                <w:rFonts w:hAnsi="宋体"/>
                <w:b/>
                <w:bCs/>
                <w:color w:val="000000"/>
                <w:kern w:val="2"/>
                <w:sz w:val="18"/>
                <w:szCs w:val="18"/>
              </w:rPr>
            </w:pPr>
            <w:r>
              <w:rPr>
                <w:rFonts w:hAnsi="宋体" w:hint="eastAsia"/>
                <w:b/>
                <w:bCs/>
                <w:color w:val="000000"/>
                <w:sz w:val="18"/>
                <w:szCs w:val="18"/>
              </w:rPr>
              <w:t>评价等级</w:t>
            </w:r>
          </w:p>
        </w:tc>
        <w:tc>
          <w:tcPr>
            <w:tcW w:w="7561" w:type="dxa"/>
            <w:gridSpan w:val="4"/>
            <w:tcBorders>
              <w:bottom w:val="single" w:sz="4" w:space="0" w:color="auto"/>
            </w:tcBorders>
            <w:vAlign w:val="center"/>
          </w:tcPr>
          <w:p w14:paraId="2712B23C" w14:textId="77777777" w:rsidR="00DE5F70" w:rsidRDefault="00DE5F70" w:rsidP="00FA67A6">
            <w:pPr>
              <w:pStyle w:val="ab"/>
              <w:snapToGrid w:val="0"/>
              <w:ind w:firstLine="361"/>
              <w:jc w:val="center"/>
              <w:rPr>
                <w:rFonts w:hAnsi="宋体"/>
                <w:b/>
                <w:bCs/>
                <w:color w:val="000000"/>
                <w:sz w:val="18"/>
                <w:szCs w:val="18"/>
              </w:rPr>
            </w:pPr>
            <w:r>
              <w:rPr>
                <w:rFonts w:hAnsi="宋体" w:hint="eastAsia"/>
                <w:b/>
                <w:bCs/>
                <w:color w:val="000000"/>
                <w:sz w:val="18"/>
                <w:szCs w:val="18"/>
              </w:rPr>
              <w:t>满足条件</w:t>
            </w:r>
          </w:p>
        </w:tc>
      </w:tr>
      <w:tr w:rsidR="00DE5F70" w14:paraId="350A5720" w14:textId="77777777" w:rsidTr="00FA67A6">
        <w:trPr>
          <w:trHeight w:val="415"/>
          <w:jc w:val="center"/>
        </w:trPr>
        <w:tc>
          <w:tcPr>
            <w:tcW w:w="1596" w:type="dxa"/>
            <w:tcBorders>
              <w:left w:val="single" w:sz="4" w:space="0" w:color="auto"/>
            </w:tcBorders>
            <w:vAlign w:val="center"/>
          </w:tcPr>
          <w:p w14:paraId="785B444A" w14:textId="77777777" w:rsidR="00DE5F70" w:rsidRDefault="00DE5F70" w:rsidP="00FA67A6">
            <w:pPr>
              <w:pStyle w:val="ab"/>
              <w:snapToGrid w:val="0"/>
              <w:ind w:firstLineChars="0" w:firstLine="0"/>
              <w:jc w:val="center"/>
              <w:rPr>
                <w:rFonts w:hAnsi="宋体"/>
                <w:bCs/>
                <w:color w:val="000000"/>
                <w:sz w:val="18"/>
                <w:szCs w:val="18"/>
              </w:rPr>
            </w:pPr>
            <w:r>
              <w:rPr>
                <w:rFonts w:hAnsi="宋体" w:hint="eastAsia"/>
                <w:bCs/>
                <w:color w:val="000000"/>
                <w:sz w:val="18"/>
                <w:szCs w:val="18"/>
              </w:rPr>
              <w:t>一</w:t>
            </w:r>
            <w:r>
              <w:rPr>
                <w:rFonts w:hAnsi="宋体"/>
                <w:bCs/>
                <w:color w:val="000000"/>
                <w:sz w:val="18"/>
                <w:szCs w:val="18"/>
              </w:rPr>
              <w:t>级应同时满足</w:t>
            </w:r>
          </w:p>
        </w:tc>
        <w:tc>
          <w:tcPr>
            <w:tcW w:w="1140" w:type="dxa"/>
            <w:vMerge w:val="restart"/>
            <w:tcBorders>
              <w:right w:val="single" w:sz="4" w:space="0" w:color="auto"/>
            </w:tcBorders>
            <w:textDirection w:val="tbRlV"/>
            <w:vAlign w:val="center"/>
          </w:tcPr>
          <w:p w14:paraId="6057C9F6" w14:textId="77777777" w:rsidR="00DE5F70" w:rsidRDefault="00DE5F70" w:rsidP="00FA67A6">
            <w:pPr>
              <w:pStyle w:val="ab"/>
              <w:snapToGrid w:val="0"/>
              <w:ind w:firstLineChars="0" w:firstLine="0"/>
              <w:jc w:val="center"/>
              <w:rPr>
                <w:rFonts w:hAnsi="宋体"/>
                <w:bCs/>
                <w:color w:val="000000"/>
                <w:sz w:val="18"/>
                <w:szCs w:val="18"/>
              </w:rPr>
            </w:pPr>
            <w:r>
              <w:rPr>
                <w:rFonts w:hAnsi="宋体" w:hint="eastAsia"/>
                <w:bCs/>
                <w:color w:val="000000"/>
                <w:sz w:val="18"/>
                <w:szCs w:val="18"/>
              </w:rPr>
              <w:t>基本要求</w:t>
            </w:r>
          </w:p>
        </w:tc>
        <w:tc>
          <w:tcPr>
            <w:tcW w:w="1418" w:type="dxa"/>
            <w:vMerge w:val="restart"/>
            <w:tcBorders>
              <w:top w:val="single" w:sz="4" w:space="0" w:color="auto"/>
              <w:left w:val="single" w:sz="4" w:space="0" w:color="auto"/>
              <w:right w:val="single" w:sz="4" w:space="0" w:color="auto"/>
            </w:tcBorders>
            <w:textDirection w:val="tbRlV"/>
            <w:vAlign w:val="center"/>
          </w:tcPr>
          <w:p w14:paraId="22EBBE9B" w14:textId="77777777" w:rsidR="00DE5F70" w:rsidRDefault="00DE5F70" w:rsidP="00FA67A6">
            <w:pPr>
              <w:pStyle w:val="ab"/>
              <w:tabs>
                <w:tab w:val="left" w:pos="360"/>
              </w:tabs>
              <w:overflowPunct w:val="0"/>
              <w:snapToGrid w:val="0"/>
              <w:ind w:right="113" w:firstLineChars="0" w:firstLine="0"/>
              <w:jc w:val="center"/>
              <w:textAlignment w:val="baseline"/>
              <w:outlineLvl w:val="4"/>
              <w:rPr>
                <w:rFonts w:hAnsi="宋体"/>
                <w:bCs/>
                <w:color w:val="000000"/>
                <w:sz w:val="18"/>
                <w:szCs w:val="18"/>
              </w:rPr>
            </w:pPr>
            <w:r>
              <w:rPr>
                <w:rFonts w:hAnsi="宋体" w:hint="eastAsia"/>
                <w:bCs/>
                <w:color w:val="000000"/>
                <w:sz w:val="18"/>
                <w:szCs w:val="18"/>
              </w:rPr>
              <w:t>基础指标要求</w:t>
            </w:r>
          </w:p>
        </w:tc>
        <w:tc>
          <w:tcPr>
            <w:tcW w:w="2541" w:type="dxa"/>
            <w:tcBorders>
              <w:left w:val="single" w:sz="4" w:space="0" w:color="auto"/>
            </w:tcBorders>
            <w:vAlign w:val="center"/>
          </w:tcPr>
          <w:p w14:paraId="48FC0AC9" w14:textId="77777777" w:rsidR="00DE5F70" w:rsidRDefault="00DE5F70" w:rsidP="00FA67A6">
            <w:pPr>
              <w:pStyle w:val="ab"/>
              <w:snapToGrid w:val="0"/>
              <w:ind w:firstLineChars="0" w:firstLine="0"/>
              <w:jc w:val="center"/>
              <w:rPr>
                <w:rFonts w:hAnsi="宋体"/>
                <w:bCs/>
                <w:color w:val="000000"/>
                <w:sz w:val="18"/>
                <w:szCs w:val="18"/>
              </w:rPr>
            </w:pPr>
            <w:r>
              <w:rPr>
                <w:rFonts w:hAnsi="宋体" w:hint="eastAsia"/>
                <w:bCs/>
                <w:color w:val="000000"/>
                <w:sz w:val="18"/>
                <w:szCs w:val="18"/>
              </w:rPr>
              <w:t>核心指标先进水平要求</w:t>
            </w:r>
          </w:p>
        </w:tc>
        <w:tc>
          <w:tcPr>
            <w:tcW w:w="2462" w:type="dxa"/>
            <w:vAlign w:val="center"/>
          </w:tcPr>
          <w:p w14:paraId="0836AFFE" w14:textId="77777777" w:rsidR="00DE5F70" w:rsidRDefault="00DE5F70" w:rsidP="00FA67A6">
            <w:pPr>
              <w:pStyle w:val="ab"/>
              <w:snapToGrid w:val="0"/>
              <w:ind w:firstLineChars="0" w:firstLine="0"/>
              <w:jc w:val="center"/>
              <w:rPr>
                <w:rFonts w:hAnsi="宋体"/>
                <w:bCs/>
                <w:color w:val="000000"/>
                <w:sz w:val="18"/>
                <w:szCs w:val="18"/>
              </w:rPr>
            </w:pPr>
            <w:r>
              <w:rPr>
                <w:rFonts w:hAnsi="宋体" w:hint="eastAsia"/>
                <w:bCs/>
                <w:color w:val="000000"/>
                <w:sz w:val="18"/>
                <w:szCs w:val="18"/>
              </w:rPr>
              <w:t>创新性指标要求（可选）</w:t>
            </w:r>
          </w:p>
        </w:tc>
      </w:tr>
      <w:tr w:rsidR="00DE5F70" w14:paraId="397941D8" w14:textId="77777777" w:rsidTr="00FA67A6">
        <w:trPr>
          <w:trHeight w:val="563"/>
          <w:jc w:val="center"/>
        </w:trPr>
        <w:tc>
          <w:tcPr>
            <w:tcW w:w="1596" w:type="dxa"/>
            <w:vAlign w:val="center"/>
          </w:tcPr>
          <w:p w14:paraId="68BD34C6" w14:textId="77777777" w:rsidR="00DE5F70" w:rsidRDefault="00DE5F70" w:rsidP="00FA67A6">
            <w:pPr>
              <w:pStyle w:val="ab"/>
              <w:snapToGrid w:val="0"/>
              <w:ind w:firstLineChars="0" w:firstLine="0"/>
              <w:jc w:val="center"/>
              <w:rPr>
                <w:rFonts w:hAnsi="宋体"/>
                <w:bCs/>
                <w:color w:val="000000"/>
                <w:sz w:val="18"/>
                <w:szCs w:val="18"/>
              </w:rPr>
            </w:pPr>
            <w:r>
              <w:rPr>
                <w:rFonts w:hAnsi="宋体" w:hint="eastAsia"/>
                <w:bCs/>
                <w:color w:val="000000"/>
                <w:sz w:val="18"/>
                <w:szCs w:val="18"/>
              </w:rPr>
              <w:t>二级应同时满足</w:t>
            </w:r>
          </w:p>
        </w:tc>
        <w:tc>
          <w:tcPr>
            <w:tcW w:w="1140" w:type="dxa"/>
            <w:vMerge/>
            <w:tcBorders>
              <w:right w:val="single" w:sz="4" w:space="0" w:color="auto"/>
            </w:tcBorders>
            <w:vAlign w:val="center"/>
          </w:tcPr>
          <w:p w14:paraId="3D9E7B14" w14:textId="77777777" w:rsidR="00DE5F70" w:rsidRDefault="00DE5F70" w:rsidP="00FA67A6">
            <w:pPr>
              <w:pStyle w:val="ab"/>
              <w:snapToGrid w:val="0"/>
              <w:ind w:firstLine="360"/>
              <w:jc w:val="center"/>
              <w:rPr>
                <w:rFonts w:hAnsi="宋体"/>
                <w:bCs/>
                <w:color w:val="000000"/>
                <w:sz w:val="18"/>
                <w:szCs w:val="18"/>
              </w:rPr>
            </w:pPr>
          </w:p>
        </w:tc>
        <w:tc>
          <w:tcPr>
            <w:tcW w:w="1418" w:type="dxa"/>
            <w:vMerge/>
            <w:tcBorders>
              <w:left w:val="single" w:sz="4" w:space="0" w:color="auto"/>
              <w:right w:val="single" w:sz="4" w:space="0" w:color="auto"/>
            </w:tcBorders>
            <w:vAlign w:val="center"/>
          </w:tcPr>
          <w:p w14:paraId="03E47E5E" w14:textId="77777777" w:rsidR="00DE5F70" w:rsidRDefault="00DE5F70" w:rsidP="00FA67A6">
            <w:pPr>
              <w:pStyle w:val="ab"/>
              <w:tabs>
                <w:tab w:val="left" w:pos="360"/>
              </w:tabs>
              <w:overflowPunct w:val="0"/>
              <w:snapToGrid w:val="0"/>
              <w:ind w:firstLine="360"/>
              <w:jc w:val="center"/>
              <w:textAlignment w:val="baseline"/>
              <w:outlineLvl w:val="4"/>
              <w:rPr>
                <w:rFonts w:hAnsi="宋体"/>
                <w:bCs/>
                <w:color w:val="000000"/>
                <w:kern w:val="2"/>
                <w:sz w:val="18"/>
                <w:szCs w:val="18"/>
              </w:rPr>
            </w:pPr>
          </w:p>
        </w:tc>
        <w:tc>
          <w:tcPr>
            <w:tcW w:w="2541" w:type="dxa"/>
            <w:tcBorders>
              <w:left w:val="single" w:sz="4" w:space="0" w:color="auto"/>
            </w:tcBorders>
            <w:vAlign w:val="center"/>
          </w:tcPr>
          <w:p w14:paraId="6FD0964A" w14:textId="77777777" w:rsidR="00DE5F70" w:rsidRDefault="00DE5F70" w:rsidP="00FA67A6">
            <w:pPr>
              <w:pStyle w:val="ab"/>
              <w:snapToGrid w:val="0"/>
              <w:ind w:firstLineChars="0" w:firstLine="0"/>
              <w:jc w:val="center"/>
              <w:rPr>
                <w:rFonts w:hAnsi="宋体"/>
                <w:bCs/>
                <w:color w:val="000000"/>
                <w:kern w:val="2"/>
                <w:sz w:val="18"/>
                <w:szCs w:val="18"/>
              </w:rPr>
            </w:pPr>
            <w:r>
              <w:rPr>
                <w:rFonts w:hAnsi="宋体" w:hint="eastAsia"/>
                <w:bCs/>
                <w:color w:val="000000"/>
                <w:sz w:val="18"/>
                <w:szCs w:val="18"/>
              </w:rPr>
              <w:t>核心指标平均水平要求</w:t>
            </w:r>
          </w:p>
        </w:tc>
        <w:tc>
          <w:tcPr>
            <w:tcW w:w="2462" w:type="dxa"/>
            <w:vAlign w:val="center"/>
          </w:tcPr>
          <w:p w14:paraId="3022934A" w14:textId="77777777" w:rsidR="00DE5F70" w:rsidRDefault="00DE5F70" w:rsidP="00FA67A6">
            <w:pPr>
              <w:pStyle w:val="ab"/>
              <w:snapToGrid w:val="0"/>
              <w:ind w:firstLineChars="0" w:firstLine="0"/>
              <w:jc w:val="center"/>
              <w:rPr>
                <w:rFonts w:hAnsi="宋体"/>
                <w:bCs/>
                <w:color w:val="000000"/>
                <w:sz w:val="18"/>
                <w:szCs w:val="18"/>
              </w:rPr>
            </w:pPr>
            <w:r>
              <w:rPr>
                <w:rFonts w:hAnsi="宋体" w:hint="eastAsia"/>
                <w:bCs/>
                <w:color w:val="000000"/>
                <w:sz w:val="18"/>
                <w:szCs w:val="18"/>
              </w:rPr>
              <w:t>创新性指标要求（可选）</w:t>
            </w:r>
          </w:p>
        </w:tc>
      </w:tr>
      <w:tr w:rsidR="00DE5F70" w14:paraId="7EB10C7C" w14:textId="77777777" w:rsidTr="00FA67A6">
        <w:trPr>
          <w:trHeight w:val="410"/>
          <w:jc w:val="center"/>
        </w:trPr>
        <w:tc>
          <w:tcPr>
            <w:tcW w:w="1596" w:type="dxa"/>
            <w:vAlign w:val="center"/>
          </w:tcPr>
          <w:p w14:paraId="7BDFCBA4" w14:textId="77777777" w:rsidR="00DE5F70" w:rsidRDefault="00DE5F70" w:rsidP="00FA67A6">
            <w:pPr>
              <w:pStyle w:val="ab"/>
              <w:snapToGrid w:val="0"/>
              <w:ind w:firstLineChars="0" w:firstLine="0"/>
              <w:jc w:val="center"/>
              <w:rPr>
                <w:rFonts w:hAnsi="宋体"/>
                <w:bCs/>
                <w:color w:val="000000"/>
                <w:sz w:val="18"/>
                <w:szCs w:val="18"/>
              </w:rPr>
            </w:pPr>
            <w:r>
              <w:rPr>
                <w:rFonts w:hAnsi="宋体" w:hint="eastAsia"/>
                <w:bCs/>
                <w:color w:val="000000"/>
                <w:sz w:val="18"/>
                <w:szCs w:val="18"/>
              </w:rPr>
              <w:t>三级应同时满足</w:t>
            </w:r>
          </w:p>
        </w:tc>
        <w:tc>
          <w:tcPr>
            <w:tcW w:w="1140" w:type="dxa"/>
            <w:vMerge/>
            <w:tcBorders>
              <w:right w:val="single" w:sz="4" w:space="0" w:color="auto"/>
            </w:tcBorders>
            <w:vAlign w:val="center"/>
          </w:tcPr>
          <w:p w14:paraId="53943A0E" w14:textId="77777777" w:rsidR="00DE5F70" w:rsidRDefault="00DE5F70" w:rsidP="00FA67A6">
            <w:pPr>
              <w:pStyle w:val="ab"/>
              <w:snapToGrid w:val="0"/>
              <w:ind w:firstLineChars="0" w:firstLine="0"/>
              <w:jc w:val="center"/>
              <w:rPr>
                <w:rFonts w:hAnsi="宋体"/>
                <w:bCs/>
                <w:color w:val="000000"/>
                <w:sz w:val="18"/>
                <w:szCs w:val="18"/>
              </w:rPr>
            </w:pPr>
          </w:p>
        </w:tc>
        <w:tc>
          <w:tcPr>
            <w:tcW w:w="1418" w:type="dxa"/>
            <w:vMerge/>
            <w:tcBorders>
              <w:left w:val="single" w:sz="4" w:space="0" w:color="auto"/>
              <w:right w:val="single" w:sz="4" w:space="0" w:color="auto"/>
            </w:tcBorders>
            <w:vAlign w:val="center"/>
          </w:tcPr>
          <w:p w14:paraId="7883FF14" w14:textId="77777777" w:rsidR="00DE5F70" w:rsidRDefault="00DE5F70" w:rsidP="00FA67A6">
            <w:pPr>
              <w:pStyle w:val="ab"/>
              <w:widowControl/>
              <w:tabs>
                <w:tab w:val="left" w:pos="360"/>
              </w:tabs>
              <w:overflowPunct w:val="0"/>
              <w:snapToGrid w:val="0"/>
              <w:ind w:firstLineChars="0" w:firstLine="0"/>
              <w:jc w:val="center"/>
              <w:textAlignment w:val="baseline"/>
              <w:outlineLvl w:val="4"/>
              <w:rPr>
                <w:rFonts w:hAnsi="宋体"/>
                <w:bCs/>
                <w:color w:val="000000"/>
                <w:kern w:val="2"/>
                <w:sz w:val="18"/>
                <w:szCs w:val="18"/>
              </w:rPr>
            </w:pPr>
          </w:p>
        </w:tc>
        <w:tc>
          <w:tcPr>
            <w:tcW w:w="2541" w:type="dxa"/>
            <w:tcBorders>
              <w:left w:val="single" w:sz="4" w:space="0" w:color="auto"/>
            </w:tcBorders>
            <w:vAlign w:val="center"/>
          </w:tcPr>
          <w:p w14:paraId="7ADD93DB" w14:textId="77777777" w:rsidR="00DE5F70" w:rsidRDefault="00DE5F70" w:rsidP="00FA67A6">
            <w:pPr>
              <w:pStyle w:val="ab"/>
              <w:snapToGrid w:val="0"/>
              <w:ind w:firstLineChars="0" w:firstLine="0"/>
              <w:jc w:val="center"/>
              <w:rPr>
                <w:rFonts w:hAnsi="宋体"/>
                <w:bCs/>
                <w:color w:val="000000"/>
                <w:kern w:val="2"/>
                <w:sz w:val="18"/>
                <w:szCs w:val="18"/>
              </w:rPr>
            </w:pPr>
            <w:r>
              <w:rPr>
                <w:rFonts w:hAnsi="宋体" w:hint="eastAsia"/>
                <w:bCs/>
                <w:color w:val="000000"/>
                <w:sz w:val="18"/>
                <w:szCs w:val="18"/>
              </w:rPr>
              <w:t>核心指标基准水平要求</w:t>
            </w:r>
          </w:p>
        </w:tc>
        <w:tc>
          <w:tcPr>
            <w:tcW w:w="2462" w:type="dxa"/>
            <w:vAlign w:val="center"/>
          </w:tcPr>
          <w:p w14:paraId="217E207D" w14:textId="77777777" w:rsidR="00DE5F70" w:rsidRDefault="00DE5F70" w:rsidP="00FA67A6">
            <w:pPr>
              <w:pStyle w:val="ab"/>
              <w:snapToGrid w:val="0"/>
              <w:ind w:firstLineChars="0" w:firstLine="0"/>
              <w:jc w:val="center"/>
              <w:rPr>
                <w:rFonts w:hAnsi="宋体"/>
                <w:bCs/>
                <w:color w:val="000000"/>
                <w:sz w:val="18"/>
                <w:szCs w:val="18"/>
              </w:rPr>
            </w:pPr>
          </w:p>
        </w:tc>
      </w:tr>
    </w:tbl>
    <w:p w14:paraId="506C6546" w14:textId="77777777" w:rsidR="00DE5F70" w:rsidRPr="00DE5F70" w:rsidRDefault="00DE5F70" w:rsidP="00DE5F70">
      <w:pPr>
        <w:pStyle w:val="aa"/>
        <w:spacing w:before="312" w:after="312"/>
        <w:outlineLvl w:val="0"/>
        <w:rPr>
          <w:rFonts w:hAnsi="黑体" w:cs="Arial"/>
        </w:rPr>
      </w:pPr>
      <w:r w:rsidRPr="00DE5F70">
        <w:rPr>
          <w:rFonts w:hAnsi="黑体" w:cs="Arial" w:hint="eastAsia"/>
        </w:rPr>
        <w:t>7试验方法</w:t>
      </w:r>
    </w:p>
    <w:p w14:paraId="705A1F9D" w14:textId="77777777" w:rsidR="00DE5F70" w:rsidRDefault="00DE5F70" w:rsidP="00DE5F70">
      <w:pPr>
        <w:pStyle w:val="ab"/>
        <w:ind w:firstLineChars="0" w:firstLine="0"/>
        <w:jc w:val="left"/>
      </w:pPr>
      <w:r>
        <w:rPr>
          <w:rFonts w:hint="eastAsia"/>
        </w:rPr>
        <w:t xml:space="preserve">7.1 </w:t>
      </w:r>
      <w:r>
        <w:rPr>
          <w:rFonts w:eastAsiaTheme="majorEastAsia" w:hAnsi="宋体" w:hint="eastAsia"/>
          <w:color w:val="000000" w:themeColor="text1"/>
        </w:rPr>
        <w:t>标准散热量</w:t>
      </w:r>
    </w:p>
    <w:p w14:paraId="4C7BCE48" w14:textId="77777777" w:rsidR="00DE5F70" w:rsidRDefault="00DE5F70" w:rsidP="00DE5F70">
      <w:pPr>
        <w:pStyle w:val="ab"/>
        <w:ind w:leftChars="202" w:left="424" w:firstLineChars="202" w:firstLine="424"/>
      </w:pPr>
    </w:p>
    <w:p w14:paraId="44A590EC" w14:textId="77777777" w:rsidR="00DE5F70" w:rsidRDefault="00DE5F70" w:rsidP="00DE5F70">
      <w:pPr>
        <w:pStyle w:val="ab"/>
        <w:ind w:leftChars="202" w:left="424" w:firstLineChars="202" w:firstLine="424"/>
      </w:pPr>
      <w:r>
        <w:rPr>
          <w:rFonts w:hint="eastAsia"/>
        </w:rPr>
        <w:t>按GB/T 13754-2017中6.4规定的方法进行。</w:t>
      </w:r>
    </w:p>
    <w:p w14:paraId="1EB595BD" w14:textId="77777777" w:rsidR="00DE5F70" w:rsidRDefault="00DE5F70" w:rsidP="00DE5F70">
      <w:pPr>
        <w:pStyle w:val="ab"/>
        <w:ind w:firstLineChars="202" w:firstLine="424"/>
      </w:pPr>
    </w:p>
    <w:p w14:paraId="373E2BA2" w14:textId="77777777" w:rsidR="00DE5F70" w:rsidRDefault="00DE5F70" w:rsidP="00DE5F70">
      <w:pPr>
        <w:pStyle w:val="ab"/>
        <w:ind w:firstLineChars="0" w:firstLine="0"/>
      </w:pPr>
      <w:r>
        <w:rPr>
          <w:rFonts w:hint="eastAsia"/>
        </w:rPr>
        <w:t xml:space="preserve">7.2 </w:t>
      </w:r>
      <w:r>
        <w:rPr>
          <w:rFonts w:eastAsiaTheme="majorEastAsia" w:hAnsi="宋体" w:hint="eastAsia"/>
          <w:color w:val="000000" w:themeColor="text1"/>
        </w:rPr>
        <w:t>最小金属热强度</w:t>
      </w:r>
    </w:p>
    <w:p w14:paraId="671CB3A0" w14:textId="77777777" w:rsidR="00DE5F70" w:rsidRDefault="00DE5F70" w:rsidP="00DE5F70">
      <w:pPr>
        <w:pStyle w:val="ab"/>
        <w:ind w:leftChars="202" w:left="424" w:firstLineChars="202" w:firstLine="424"/>
      </w:pPr>
    </w:p>
    <w:p w14:paraId="5323EFCB" w14:textId="77777777" w:rsidR="00DE5F70" w:rsidRDefault="00DE5F70" w:rsidP="00DE5F70">
      <w:pPr>
        <w:pStyle w:val="ab"/>
        <w:ind w:leftChars="202" w:left="424" w:firstLineChars="202" w:firstLine="424"/>
      </w:pPr>
      <w:r>
        <w:rPr>
          <w:rFonts w:hint="eastAsia"/>
        </w:rPr>
        <w:t>按GB/T 13754-2017中6.4规定的方法进行。</w:t>
      </w:r>
    </w:p>
    <w:p w14:paraId="24B32374" w14:textId="77777777" w:rsidR="00DE5F70" w:rsidRDefault="00DE5F70" w:rsidP="00DE5F70">
      <w:pPr>
        <w:pStyle w:val="ab"/>
      </w:pPr>
    </w:p>
    <w:p w14:paraId="0763D16A" w14:textId="77777777" w:rsidR="00DE5F70" w:rsidRDefault="00DE5F70" w:rsidP="00DE5F70">
      <w:pPr>
        <w:pStyle w:val="ab"/>
        <w:ind w:firstLineChars="0" w:firstLine="0"/>
        <w:rPr>
          <w:color w:val="000000" w:themeColor="text1"/>
          <w:sz w:val="20"/>
        </w:rPr>
      </w:pPr>
      <w:r>
        <w:rPr>
          <w:rFonts w:hint="eastAsia"/>
        </w:rPr>
        <w:t xml:space="preserve">7.3 </w:t>
      </w:r>
      <w:r>
        <w:rPr>
          <w:rFonts w:eastAsiaTheme="majorEastAsia" w:hAnsi="宋体" w:hint="eastAsia"/>
          <w:color w:val="000000" w:themeColor="text1"/>
        </w:rPr>
        <w:t>工作压力</w:t>
      </w:r>
    </w:p>
    <w:p w14:paraId="1B6592CC" w14:textId="77777777" w:rsidR="00DE5F70" w:rsidRDefault="00DE5F70" w:rsidP="00DE5F70">
      <w:pPr>
        <w:pStyle w:val="ab"/>
        <w:ind w:firstLineChars="202" w:firstLine="424"/>
      </w:pPr>
    </w:p>
    <w:p w14:paraId="22BD53EF" w14:textId="77777777" w:rsidR="00DE5F70" w:rsidRDefault="00DE5F70" w:rsidP="00DE5F70">
      <w:pPr>
        <w:pStyle w:val="ab"/>
        <w:ind w:leftChars="202" w:left="424" w:firstLineChars="202" w:firstLine="424"/>
      </w:pPr>
      <w:r>
        <w:rPr>
          <w:rFonts w:hint="eastAsia"/>
        </w:rPr>
        <w:t>按GB/T 29039-2012中6.1.1规定的方法进行。</w:t>
      </w:r>
    </w:p>
    <w:p w14:paraId="5449B7AA" w14:textId="77777777" w:rsidR="00DE5F70" w:rsidRDefault="00DE5F70" w:rsidP="00DE5F70">
      <w:pPr>
        <w:pStyle w:val="ab"/>
        <w:ind w:leftChars="202" w:left="424" w:firstLineChars="202" w:firstLine="424"/>
      </w:pPr>
    </w:p>
    <w:p w14:paraId="2B17C54F" w14:textId="77777777" w:rsidR="00DE5F70" w:rsidRDefault="00DE5F70" w:rsidP="00DE5F70">
      <w:pPr>
        <w:pStyle w:val="ab"/>
        <w:ind w:firstLineChars="0" w:firstLine="0"/>
      </w:pPr>
      <w:r>
        <w:rPr>
          <w:rFonts w:hint="eastAsia"/>
        </w:rPr>
        <w:t xml:space="preserve">7.4 </w:t>
      </w:r>
      <w:r>
        <w:rPr>
          <w:rFonts w:eastAsiaTheme="majorEastAsia" w:hAnsi="宋体" w:hint="eastAsia"/>
          <w:color w:val="000000" w:themeColor="text1"/>
        </w:rPr>
        <w:t>螺纹质量</w:t>
      </w:r>
    </w:p>
    <w:p w14:paraId="49F9254A" w14:textId="77777777" w:rsidR="00DE5F70" w:rsidRDefault="00DE5F70" w:rsidP="00DE5F70">
      <w:pPr>
        <w:pStyle w:val="ab"/>
        <w:ind w:firstLineChars="202" w:firstLine="424"/>
      </w:pPr>
    </w:p>
    <w:p w14:paraId="76186D8F" w14:textId="77777777" w:rsidR="00DE5F70" w:rsidRDefault="00DE5F70" w:rsidP="00DE5F70">
      <w:pPr>
        <w:pStyle w:val="ab"/>
        <w:ind w:leftChars="202" w:left="424" w:firstLineChars="202" w:firstLine="424"/>
      </w:pPr>
      <w:r>
        <w:rPr>
          <w:rFonts w:hint="eastAsia"/>
        </w:rPr>
        <w:t>按GB/T 29039-2012中6.4规定的方法进行。</w:t>
      </w:r>
    </w:p>
    <w:p w14:paraId="6F7BDACE" w14:textId="1804E845" w:rsidR="00594288" w:rsidRPr="00594288" w:rsidRDefault="00594288" w:rsidP="00594288">
      <w:pPr>
        <w:jc w:val="left"/>
      </w:pPr>
      <w:r>
        <w:t xml:space="preserve">  </w:t>
      </w:r>
    </w:p>
    <w:sectPr w:rsidR="00594288" w:rsidRPr="00594288" w:rsidSect="00D900C8">
      <w:pgSz w:w="11906" w:h="16838"/>
      <w:pgMar w:top="1418" w:right="1134"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2F9B3" w14:textId="77777777" w:rsidR="00021F28" w:rsidRDefault="00021F28" w:rsidP="00CD7A43">
      <w:r>
        <w:separator/>
      </w:r>
    </w:p>
  </w:endnote>
  <w:endnote w:type="continuationSeparator" w:id="0">
    <w:p w14:paraId="090DEBF4" w14:textId="77777777" w:rsidR="00021F28" w:rsidRDefault="00021F28" w:rsidP="00CD7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Candara">
    <w:panose1 w:val="020E0502030303020204"/>
    <w:charset w:val="00"/>
    <w:family w:val="swiss"/>
    <w:pitch w:val="variable"/>
    <w:sig w:usb0="A00002EF" w:usb1="4000A44B" w:usb2="00000000" w:usb3="00000000" w:csb0="0000019F" w:csb1="00000000"/>
  </w:font>
  <w:font w:name="华文中宋">
    <w:altName w:val="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44C61" w14:textId="77777777" w:rsidR="00021F28" w:rsidRDefault="00021F28" w:rsidP="00CD7A43">
      <w:r>
        <w:separator/>
      </w:r>
    </w:p>
  </w:footnote>
  <w:footnote w:type="continuationSeparator" w:id="0">
    <w:p w14:paraId="084319A6" w14:textId="77777777" w:rsidR="00021F28" w:rsidRDefault="00021F28" w:rsidP="00CD7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EB2E9" w14:textId="77777777" w:rsidR="00527DFE" w:rsidRPr="00527DFE" w:rsidRDefault="00527DFE" w:rsidP="00527DFE">
    <w:pPr>
      <w:pStyle w:val="a5"/>
      <w:pBdr>
        <w:bottom w:val="none" w:sz="0" w:space="0" w:color="auto"/>
      </w:pBdr>
      <w:jc w:val="right"/>
      <w:rPr>
        <w:rFonts w:ascii="Candara" w:hAnsi="Candara"/>
        <w:color w:val="FF0000"/>
        <w:sz w:val="21"/>
        <w:szCs w:val="21"/>
      </w:rPr>
    </w:pPr>
    <w:r w:rsidRPr="00AD5AA8">
      <w:rPr>
        <w:rFonts w:ascii="Candara" w:hAnsi="Candara" w:cs="宋体"/>
        <w:color w:val="000000"/>
        <w:kern w:val="0"/>
        <w:szCs w:val="21"/>
      </w:rPr>
      <w:t>T/</w:t>
    </w:r>
    <w:r w:rsidR="00487795">
      <w:rPr>
        <w:rFonts w:ascii="Candara" w:hAnsi="Candara" w:cs="宋体"/>
        <w:color w:val="FF0000"/>
        <w:kern w:val="0"/>
        <w:szCs w:val="21"/>
      </w:rPr>
      <w:t>EES</w:t>
    </w:r>
    <w:r w:rsidR="00C41D75">
      <w:rPr>
        <w:rFonts w:ascii="Candara" w:hAnsi="Candara" w:cs="宋体"/>
        <w:color w:val="FF0000"/>
        <w:kern w:val="0"/>
        <w:szCs w:val="21"/>
      </w:rPr>
      <w:t xml:space="preserve"> </w:t>
    </w:r>
    <w:proofErr w:type="spellStart"/>
    <w:r w:rsidR="00C41D75">
      <w:rPr>
        <w:rFonts w:ascii="Candara" w:hAnsi="Candara" w:hint="eastAsia"/>
        <w:color w:val="FF0000"/>
        <w:sz w:val="21"/>
        <w:szCs w:val="21"/>
      </w:rPr>
      <w:t>xxxx</w:t>
    </w:r>
    <w:proofErr w:type="spellEnd"/>
    <w:r w:rsidRPr="00AD5AA8">
      <w:rPr>
        <w:rFonts w:ascii="Candara" w:hAnsi="Candara"/>
        <w:color w:val="FF0000"/>
        <w:sz w:val="21"/>
        <w:szCs w:val="21"/>
      </w:rPr>
      <w:t>—</w:t>
    </w:r>
    <w:r w:rsidR="00487795">
      <w:rPr>
        <w:rFonts w:ascii="Candara" w:hAnsi="Candara"/>
        <w:color w:val="FF0000"/>
        <w:sz w:val="21"/>
        <w:szCs w:val="21"/>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Arial" w:eastAsia="黑体" w:hAnsi="Arial" w:cs="Arial" w:hint="default"/>
        <w:b w:val="0"/>
        <w:bCs w:val="0"/>
        <w:i w:val="0"/>
        <w:iCs w:val="0"/>
        <w:caps w:val="0"/>
        <w:smallCaps w:val="0"/>
        <w:strike w:val="0"/>
        <w:dstrike w:val="0"/>
        <w:snapToGrid w:val="0"/>
        <w:vanish w:val="0"/>
        <w:color w:val="000000"/>
        <w:spacing w:val="0"/>
        <w:w w:val="0"/>
        <w:kern w:val="0"/>
        <w:position w:val="0"/>
        <w:sz w:val="21"/>
        <w:szCs w:val="0"/>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BC6"/>
    <w:rsid w:val="00021F28"/>
    <w:rsid w:val="0003332B"/>
    <w:rsid w:val="00057197"/>
    <w:rsid w:val="0008236C"/>
    <w:rsid w:val="000F5A40"/>
    <w:rsid w:val="001D78CB"/>
    <w:rsid w:val="00202959"/>
    <w:rsid w:val="00257660"/>
    <w:rsid w:val="00365C01"/>
    <w:rsid w:val="00415A92"/>
    <w:rsid w:val="00487795"/>
    <w:rsid w:val="00527DFE"/>
    <w:rsid w:val="00594288"/>
    <w:rsid w:val="005D5107"/>
    <w:rsid w:val="006052BB"/>
    <w:rsid w:val="0061304C"/>
    <w:rsid w:val="006F4E1C"/>
    <w:rsid w:val="00723F15"/>
    <w:rsid w:val="00860016"/>
    <w:rsid w:val="008B04BA"/>
    <w:rsid w:val="00A24F9B"/>
    <w:rsid w:val="00A332E9"/>
    <w:rsid w:val="00A65EA4"/>
    <w:rsid w:val="00A84E00"/>
    <w:rsid w:val="00AE5C0A"/>
    <w:rsid w:val="00AF2775"/>
    <w:rsid w:val="00B44DA6"/>
    <w:rsid w:val="00B721FE"/>
    <w:rsid w:val="00C41D75"/>
    <w:rsid w:val="00CA64F3"/>
    <w:rsid w:val="00CB1AE8"/>
    <w:rsid w:val="00CD7A43"/>
    <w:rsid w:val="00D327AB"/>
    <w:rsid w:val="00D900C8"/>
    <w:rsid w:val="00DE5F70"/>
    <w:rsid w:val="00E55699"/>
    <w:rsid w:val="00EC2BC6"/>
    <w:rsid w:val="00FB6FE5"/>
    <w:rsid w:val="00FD54A1"/>
    <w:rsid w:val="5D590002"/>
    <w:rsid w:val="79974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FE01DCA"/>
  <w15:docId w15:val="{0A130ED7-0406-4188-A9DC-AD5F6C4D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E00"/>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84E00"/>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rsid w:val="00A84E0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semiHidden/>
    <w:rsid w:val="00A84E00"/>
    <w:rPr>
      <w:sz w:val="18"/>
      <w:szCs w:val="18"/>
    </w:rPr>
  </w:style>
  <w:style w:type="character" w:customStyle="1" w:styleId="a4">
    <w:name w:val="页脚 字符"/>
    <w:basedOn w:val="a0"/>
    <w:link w:val="a3"/>
    <w:uiPriority w:val="99"/>
    <w:semiHidden/>
    <w:rsid w:val="00A84E00"/>
    <w:rPr>
      <w:sz w:val="18"/>
      <w:szCs w:val="18"/>
    </w:rPr>
  </w:style>
  <w:style w:type="paragraph" w:customStyle="1" w:styleId="a7">
    <w:name w:val="封面标准名称"/>
    <w:qFormat/>
    <w:rsid w:val="00A84E00"/>
    <w:pPr>
      <w:widowControl w:val="0"/>
      <w:spacing w:line="680" w:lineRule="exact"/>
      <w:jc w:val="center"/>
      <w:textAlignment w:val="center"/>
    </w:pPr>
    <w:rPr>
      <w:rFonts w:ascii="黑体" w:eastAsia="黑体" w:hAnsi="Times New Roman" w:cs="Times New Roman"/>
      <w:sz w:val="52"/>
    </w:rPr>
  </w:style>
  <w:style w:type="paragraph" w:customStyle="1" w:styleId="a8">
    <w:name w:val="前言、引言标题"/>
    <w:next w:val="a"/>
    <w:uiPriority w:val="99"/>
    <w:rsid w:val="00594288"/>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9">
    <w:name w:val="目次、标准名称标题"/>
    <w:basedOn w:val="a"/>
    <w:next w:val="a"/>
    <w:uiPriority w:val="99"/>
    <w:rsid w:val="00594288"/>
    <w:pPr>
      <w:keepNext/>
      <w:pageBreakBefore/>
      <w:widowControl/>
      <w:shd w:val="clear" w:color="FFFFFF" w:fill="FFFFFF"/>
      <w:spacing w:before="640" w:after="560" w:line="460" w:lineRule="exact"/>
      <w:jc w:val="center"/>
      <w:outlineLvl w:val="0"/>
    </w:pPr>
    <w:rPr>
      <w:rFonts w:ascii="黑体" w:eastAsia="黑体" w:hAnsi="Times New Roman"/>
      <w:kern w:val="0"/>
      <w:sz w:val="32"/>
      <w:szCs w:val="20"/>
    </w:rPr>
  </w:style>
  <w:style w:type="paragraph" w:customStyle="1" w:styleId="aa">
    <w:name w:val="章标题"/>
    <w:next w:val="a"/>
    <w:link w:val="Char"/>
    <w:qFormat/>
    <w:rsid w:val="00594288"/>
    <w:pPr>
      <w:spacing w:beforeLines="100" w:afterLines="100"/>
      <w:jc w:val="both"/>
      <w:outlineLvl w:val="1"/>
    </w:pPr>
    <w:rPr>
      <w:rFonts w:ascii="黑体" w:eastAsia="黑体" w:hAnsi="Times New Roman" w:cs="Times New Roman"/>
      <w:sz w:val="21"/>
    </w:rPr>
  </w:style>
  <w:style w:type="paragraph" w:customStyle="1" w:styleId="ab">
    <w:name w:val="段"/>
    <w:link w:val="Char0"/>
    <w:qFormat/>
    <w:rsid w:val="00594288"/>
    <w:pPr>
      <w:tabs>
        <w:tab w:val="center" w:pos="4201"/>
        <w:tab w:val="right" w:leader="dot" w:pos="9298"/>
      </w:tabs>
      <w:autoSpaceDE w:val="0"/>
      <w:autoSpaceDN w:val="0"/>
      <w:ind w:firstLineChars="200" w:firstLine="420"/>
      <w:jc w:val="both"/>
    </w:pPr>
    <w:rPr>
      <w:rFonts w:ascii="宋体" w:eastAsia="宋体" w:hAnsi="Times New Roman" w:cs="Times New Roman"/>
      <w:noProof/>
      <w:sz w:val="21"/>
    </w:rPr>
  </w:style>
  <w:style w:type="character" w:customStyle="1" w:styleId="Char0">
    <w:name w:val="段 Char"/>
    <w:link w:val="ab"/>
    <w:qFormat/>
    <w:rsid w:val="00594288"/>
    <w:rPr>
      <w:rFonts w:ascii="宋体" w:eastAsia="宋体" w:hAnsi="Times New Roman" w:cs="Times New Roman"/>
      <w:noProof/>
      <w:sz w:val="21"/>
    </w:rPr>
  </w:style>
  <w:style w:type="paragraph" w:styleId="ac">
    <w:name w:val="caption"/>
    <w:basedOn w:val="a"/>
    <w:next w:val="a"/>
    <w:qFormat/>
    <w:rsid w:val="00DE5F70"/>
    <w:pPr>
      <w:spacing w:before="152" w:after="160"/>
    </w:pPr>
    <w:rPr>
      <w:rFonts w:ascii="Arial" w:eastAsia="黑体" w:hAnsi="Arial" w:cs="Arial"/>
      <w:sz w:val="20"/>
      <w:szCs w:val="20"/>
    </w:rPr>
  </w:style>
  <w:style w:type="table" w:styleId="ad">
    <w:name w:val="Table Grid"/>
    <w:basedOn w:val="a1"/>
    <w:uiPriority w:val="59"/>
    <w:qFormat/>
    <w:rsid w:val="00DE5F70"/>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章标题 Char"/>
    <w:link w:val="aa"/>
    <w:qFormat/>
    <w:rsid w:val="00DE5F70"/>
    <w:rPr>
      <w:rFonts w:ascii="黑体" w:eastAsia="黑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2052"/>
    <customShpInfo spid="_x0000_s2050"/>
    <customShpInfo spid="_x0000_s2051"/>
  </customShpExts>
</s:customData>
</file>

<file path=customXml/itemProps1.xml><?xml version="1.0" encoding="utf-8"?>
<ds:datastoreItem xmlns:ds="http://schemas.openxmlformats.org/officeDocument/2006/customXml" ds:itemID="{D4F3F25D-719E-49C8-8F80-B444CFC901B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291</Words>
  <Characters>1662</Characters>
  <Application>Microsoft Office Word</Application>
  <DocSecurity>0</DocSecurity>
  <Lines>13</Lines>
  <Paragraphs>3</Paragraphs>
  <ScaleCrop>false</ScaleCrop>
  <Company>CNIS</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曹 宁</cp:lastModifiedBy>
  <cp:revision>3</cp:revision>
  <dcterms:created xsi:type="dcterms:W3CDTF">2020-07-03T07:03:00Z</dcterms:created>
  <dcterms:modified xsi:type="dcterms:W3CDTF">2020-07-03T07:52:00Z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